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gliatabella"/>
        <w:tblW w:w="10632" w:type="dxa"/>
        <w:tblInd w:w="-459" w:type="dxa"/>
        <w:tblLook w:val="04A0" w:firstRow="1" w:lastRow="0" w:firstColumn="1" w:lastColumn="0" w:noHBand="0" w:noVBand="1"/>
      </w:tblPr>
      <w:tblGrid>
        <w:gridCol w:w="5316"/>
        <w:gridCol w:w="5316"/>
      </w:tblGrid>
      <w:tr w:rsidR="00813A45" w:rsidRPr="00C405D4" w:rsidTr="00813A45">
        <w:tc>
          <w:tcPr>
            <w:tcW w:w="5316" w:type="dxa"/>
          </w:tcPr>
          <w:p w:rsidR="00813A45" w:rsidRPr="00813A45" w:rsidRDefault="00813A45" w:rsidP="00813A45">
            <w:pPr>
              <w:jc w:val="center"/>
              <w:rPr>
                <w:rFonts w:cstheme="minorHAnsi"/>
                <w:b/>
                <w:bCs/>
                <w:sz w:val="20"/>
                <w:szCs w:val="20"/>
              </w:rPr>
            </w:pPr>
            <w:r w:rsidRPr="00813A45">
              <w:rPr>
                <w:rFonts w:cstheme="minorHAnsi"/>
                <w:b/>
                <w:bCs/>
                <w:noProof/>
                <w:sz w:val="20"/>
                <w:szCs w:val="20"/>
                <w:lang w:eastAsia="it-IT"/>
              </w:rPr>
              <w:drawing>
                <wp:anchor distT="0" distB="0" distL="114300" distR="114300" simplePos="0" relativeHeight="251658240" behindDoc="0" locked="0" layoutInCell="1" allowOverlap="1" wp14:anchorId="4C6ECCF3" wp14:editId="51B96A4C">
                  <wp:simplePos x="0" y="0"/>
                  <wp:positionH relativeFrom="column">
                    <wp:posOffset>-176924</wp:posOffset>
                  </wp:positionH>
                  <wp:positionV relativeFrom="paragraph">
                    <wp:posOffset>-506758</wp:posOffset>
                  </wp:positionV>
                  <wp:extent cx="968991" cy="418832"/>
                  <wp:effectExtent l="0" t="0" r="3175" b="635"/>
                  <wp:wrapNone/>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8991" cy="418832"/>
                          </a:xfrm>
                          <a:prstGeom prst="rect">
                            <a:avLst/>
                          </a:prstGeom>
                          <a:noFill/>
                        </pic:spPr>
                      </pic:pic>
                    </a:graphicData>
                  </a:graphic>
                  <wp14:sizeRelH relativeFrom="page">
                    <wp14:pctWidth>0</wp14:pctWidth>
                  </wp14:sizeRelH>
                  <wp14:sizeRelV relativeFrom="page">
                    <wp14:pctHeight>0</wp14:pctHeight>
                  </wp14:sizeRelV>
                </wp:anchor>
              </w:drawing>
            </w:r>
            <w:r w:rsidRPr="00813A45">
              <w:rPr>
                <w:rFonts w:cstheme="minorHAnsi"/>
                <w:b/>
                <w:bCs/>
                <w:sz w:val="20"/>
                <w:szCs w:val="20"/>
              </w:rPr>
              <w:t>ISTRUZIONI PER L'USO E LA MANUTENZIONE</w:t>
            </w:r>
          </w:p>
          <w:p w:rsidR="00813A45" w:rsidRPr="00813A45" w:rsidRDefault="00813A45" w:rsidP="00813A45">
            <w:pPr>
              <w:jc w:val="center"/>
              <w:rPr>
                <w:rFonts w:cstheme="minorHAnsi"/>
                <w:b/>
                <w:bCs/>
                <w:sz w:val="20"/>
                <w:szCs w:val="20"/>
              </w:rPr>
            </w:pPr>
            <w:r w:rsidRPr="00813A45">
              <w:rPr>
                <w:rFonts w:cstheme="minorHAnsi"/>
                <w:b/>
                <w:bCs/>
                <w:sz w:val="20"/>
                <w:szCs w:val="20"/>
              </w:rPr>
              <w:t xml:space="preserve"> DEI FILTRI  - CONDIZIONI GENERALI DI VENDITA</w:t>
            </w:r>
          </w:p>
        </w:tc>
        <w:tc>
          <w:tcPr>
            <w:tcW w:w="5316" w:type="dxa"/>
          </w:tcPr>
          <w:p w:rsidR="00813A45" w:rsidRPr="00813A45" w:rsidRDefault="00813A45">
            <w:pPr>
              <w:rPr>
                <w:rFonts w:cstheme="minorHAnsi"/>
                <w:b/>
                <w:sz w:val="20"/>
                <w:szCs w:val="20"/>
                <w:lang w:val="en-GB"/>
              </w:rPr>
            </w:pPr>
            <w:r w:rsidRPr="00813A45">
              <w:rPr>
                <w:rFonts w:cstheme="minorHAnsi"/>
                <w:b/>
                <w:sz w:val="20"/>
                <w:szCs w:val="20"/>
                <w:lang w:val="en-GB"/>
              </w:rPr>
              <w:t>INSTRUCTIONS FOR THE USE AND MAINTENANCE OF THE FILTERS - GENERAL SALES CONDITIONS</w:t>
            </w:r>
          </w:p>
        </w:tc>
      </w:tr>
      <w:tr w:rsidR="00813A45" w:rsidRPr="00813A45" w:rsidTr="00813A45">
        <w:tc>
          <w:tcPr>
            <w:tcW w:w="5316" w:type="dxa"/>
          </w:tcPr>
          <w:p w:rsidR="00813A45" w:rsidRPr="00344B62" w:rsidRDefault="00813A45" w:rsidP="00344B62">
            <w:pPr>
              <w:jc w:val="both"/>
              <w:rPr>
                <w:rFonts w:cstheme="minorHAnsi"/>
                <w:i/>
                <w:sz w:val="20"/>
                <w:szCs w:val="20"/>
                <w:u w:val="single"/>
              </w:rPr>
            </w:pPr>
            <w:r w:rsidRPr="00344B62">
              <w:rPr>
                <w:rFonts w:cstheme="minorHAnsi"/>
                <w:i/>
                <w:sz w:val="20"/>
                <w:szCs w:val="20"/>
                <w:u w:val="single"/>
              </w:rPr>
              <w:t>ISTRUZIONI GENERALI PER L’INSTALLAZIONE, L’USO E LA</w:t>
            </w:r>
          </w:p>
          <w:p w:rsidR="00813A45" w:rsidRPr="00344B62" w:rsidRDefault="00813A45" w:rsidP="00344B62">
            <w:pPr>
              <w:jc w:val="both"/>
              <w:rPr>
                <w:rFonts w:cstheme="minorHAnsi"/>
                <w:i/>
                <w:sz w:val="20"/>
                <w:szCs w:val="20"/>
                <w:u w:val="single"/>
              </w:rPr>
            </w:pPr>
            <w:r w:rsidRPr="00344B62">
              <w:rPr>
                <w:rFonts w:cstheme="minorHAnsi"/>
                <w:i/>
                <w:sz w:val="20"/>
                <w:szCs w:val="20"/>
                <w:u w:val="single"/>
              </w:rPr>
              <w:t>MANUTENZIONE</w:t>
            </w:r>
          </w:p>
          <w:p w:rsidR="00813A45" w:rsidRPr="003E76ED" w:rsidRDefault="00813A45" w:rsidP="00813A45">
            <w:pPr>
              <w:jc w:val="both"/>
              <w:rPr>
                <w:rFonts w:cstheme="minorHAnsi"/>
                <w:sz w:val="16"/>
                <w:szCs w:val="16"/>
              </w:rPr>
            </w:pPr>
          </w:p>
          <w:p w:rsidR="00813A45" w:rsidRPr="00813A45" w:rsidRDefault="00813A45" w:rsidP="00344B62">
            <w:pPr>
              <w:pStyle w:val="Paragrafoelenco"/>
              <w:numPr>
                <w:ilvl w:val="0"/>
                <w:numId w:val="14"/>
              </w:numPr>
              <w:ind w:left="175" w:hanging="175"/>
              <w:jc w:val="both"/>
              <w:rPr>
                <w:rFonts w:cstheme="minorHAnsi"/>
                <w:sz w:val="20"/>
                <w:szCs w:val="20"/>
              </w:rPr>
            </w:pPr>
            <w:r w:rsidRPr="00813A45">
              <w:rPr>
                <w:rFonts w:cstheme="minorHAnsi"/>
                <w:sz w:val="20"/>
                <w:szCs w:val="20"/>
              </w:rPr>
              <w:t>I contenitori per cartucce riportati in questo catalogo devono essere utilizzati solamente per le applicazioni indicate dal costruttore. In caso di utilizzo diverso non autorizzato, si declina ogni responsabilità.</w:t>
            </w:r>
          </w:p>
          <w:p w:rsidR="00813A45" w:rsidRPr="00813A45" w:rsidRDefault="00813A45" w:rsidP="00344B62">
            <w:pPr>
              <w:pStyle w:val="Paragrafoelenco"/>
              <w:numPr>
                <w:ilvl w:val="0"/>
                <w:numId w:val="14"/>
              </w:numPr>
              <w:ind w:left="175" w:hanging="175"/>
              <w:jc w:val="both"/>
              <w:rPr>
                <w:rFonts w:cstheme="minorHAnsi"/>
                <w:sz w:val="20"/>
                <w:szCs w:val="20"/>
              </w:rPr>
            </w:pPr>
            <w:r w:rsidRPr="00813A45">
              <w:rPr>
                <w:rFonts w:cstheme="minorHAnsi"/>
                <w:sz w:val="20"/>
                <w:szCs w:val="20"/>
              </w:rPr>
              <w:t>L’utilizzo di tutti i contenitori porta cartucce deve tenere conto dei limiti di pressione d’esercizio fissati nel presente catalogo.</w:t>
            </w:r>
          </w:p>
          <w:p w:rsidR="00813A45" w:rsidRPr="00813A45" w:rsidRDefault="00813A45" w:rsidP="00344B62">
            <w:pPr>
              <w:pStyle w:val="Paragrafoelenco"/>
              <w:numPr>
                <w:ilvl w:val="0"/>
                <w:numId w:val="14"/>
              </w:numPr>
              <w:ind w:left="175" w:hanging="175"/>
              <w:jc w:val="both"/>
              <w:rPr>
                <w:rFonts w:cstheme="minorHAnsi"/>
                <w:sz w:val="20"/>
                <w:szCs w:val="20"/>
              </w:rPr>
            </w:pPr>
            <w:r w:rsidRPr="00813A45">
              <w:rPr>
                <w:rFonts w:cstheme="minorHAnsi"/>
                <w:sz w:val="20"/>
                <w:szCs w:val="20"/>
              </w:rPr>
              <w:t xml:space="preserve">I contenitori </w:t>
            </w:r>
            <w:r w:rsidR="00344B62" w:rsidRPr="00813A45">
              <w:rPr>
                <w:rFonts w:cstheme="minorHAnsi"/>
                <w:sz w:val="20"/>
                <w:szCs w:val="20"/>
              </w:rPr>
              <w:t>porta cartucce</w:t>
            </w:r>
            <w:r w:rsidRPr="00813A45">
              <w:rPr>
                <w:rFonts w:cstheme="minorHAnsi"/>
                <w:sz w:val="20"/>
                <w:szCs w:val="20"/>
              </w:rPr>
              <w:t xml:space="preserve"> costruiti con vaso in SAN trasparente sono idonei a trattare liquidi di </w:t>
            </w:r>
            <w:proofErr w:type="spellStart"/>
            <w:r w:rsidRPr="00813A45">
              <w:rPr>
                <w:rFonts w:cstheme="minorHAnsi"/>
                <w:sz w:val="20"/>
                <w:szCs w:val="20"/>
              </w:rPr>
              <w:t>pH</w:t>
            </w:r>
            <w:proofErr w:type="spellEnd"/>
            <w:r w:rsidRPr="00813A45">
              <w:rPr>
                <w:rFonts w:cstheme="minorHAnsi"/>
                <w:sz w:val="20"/>
                <w:szCs w:val="20"/>
              </w:rPr>
              <w:t xml:space="preserve"> neutro. Per trattamento di liquidi con </w:t>
            </w:r>
            <w:proofErr w:type="spellStart"/>
            <w:r w:rsidR="00344B62">
              <w:rPr>
                <w:rFonts w:cstheme="minorHAnsi"/>
                <w:sz w:val="20"/>
                <w:szCs w:val="20"/>
              </w:rPr>
              <w:t>pH</w:t>
            </w:r>
            <w:proofErr w:type="spellEnd"/>
            <w:r w:rsidRPr="00813A45">
              <w:rPr>
                <w:rFonts w:cstheme="minorHAnsi"/>
                <w:sz w:val="20"/>
                <w:szCs w:val="20"/>
              </w:rPr>
              <w:t xml:space="preserve"> aggressivi si scelgano i contenitori più adatti secondo le indicazioni riportate nel presente catalogo.</w:t>
            </w:r>
          </w:p>
          <w:p w:rsidR="00813A45" w:rsidRPr="00813A45" w:rsidRDefault="00813A45" w:rsidP="00344B62">
            <w:pPr>
              <w:pStyle w:val="Paragrafoelenco"/>
              <w:numPr>
                <w:ilvl w:val="0"/>
                <w:numId w:val="14"/>
              </w:numPr>
              <w:ind w:left="175" w:hanging="175"/>
              <w:jc w:val="both"/>
              <w:rPr>
                <w:rFonts w:cstheme="minorHAnsi"/>
                <w:sz w:val="20"/>
                <w:szCs w:val="20"/>
              </w:rPr>
            </w:pPr>
            <w:r w:rsidRPr="00813A45">
              <w:rPr>
                <w:rFonts w:cstheme="minorHAnsi"/>
                <w:sz w:val="20"/>
                <w:szCs w:val="20"/>
              </w:rPr>
              <w:t xml:space="preserve">I contenitori </w:t>
            </w:r>
            <w:r w:rsidR="00344B62" w:rsidRPr="00813A45">
              <w:rPr>
                <w:rFonts w:cstheme="minorHAnsi"/>
                <w:sz w:val="20"/>
                <w:szCs w:val="20"/>
              </w:rPr>
              <w:t>porta cartucce</w:t>
            </w:r>
            <w:r w:rsidRPr="00813A45">
              <w:rPr>
                <w:rFonts w:cstheme="minorHAnsi"/>
                <w:sz w:val="20"/>
                <w:szCs w:val="20"/>
              </w:rPr>
              <w:t xml:space="preserve"> in plastica non devono essere né installati né immagazzinati in ambienti esposti al sole o al gelo. I raggi ultra-violetti,  le  alte  temperature  così  come  le  temperature  molto  basse, possono limitare la durata dell’apparecchio o pregiudicarne l’integrità</w:t>
            </w:r>
            <w:r>
              <w:rPr>
                <w:rFonts w:cstheme="minorHAnsi"/>
                <w:sz w:val="20"/>
                <w:szCs w:val="20"/>
              </w:rPr>
              <w:t xml:space="preserve"> </w:t>
            </w:r>
            <w:r w:rsidRPr="00813A45">
              <w:rPr>
                <w:rFonts w:cstheme="minorHAnsi"/>
                <w:sz w:val="20"/>
                <w:szCs w:val="20"/>
              </w:rPr>
              <w:t>sino alla rottura.</w:t>
            </w:r>
          </w:p>
          <w:p w:rsidR="00813A45" w:rsidRPr="00813A45" w:rsidRDefault="00813A45" w:rsidP="00344B62">
            <w:pPr>
              <w:pStyle w:val="Paragrafoelenco"/>
              <w:numPr>
                <w:ilvl w:val="0"/>
                <w:numId w:val="14"/>
              </w:numPr>
              <w:ind w:left="175" w:hanging="175"/>
              <w:jc w:val="both"/>
              <w:rPr>
                <w:rFonts w:cstheme="minorHAnsi"/>
                <w:sz w:val="20"/>
                <w:szCs w:val="20"/>
              </w:rPr>
            </w:pPr>
            <w:r w:rsidRPr="00813A45">
              <w:rPr>
                <w:rFonts w:cstheme="minorHAnsi"/>
                <w:sz w:val="20"/>
                <w:szCs w:val="20"/>
              </w:rPr>
              <w:t>Se si prevede un utilizzo con contenitore esposto alla luce si consiglia di usare contenitori con vaso bianco.</w:t>
            </w:r>
          </w:p>
          <w:p w:rsidR="00813A45" w:rsidRPr="00813A45" w:rsidRDefault="00813A45" w:rsidP="00344B62">
            <w:pPr>
              <w:pStyle w:val="Paragrafoelenco"/>
              <w:numPr>
                <w:ilvl w:val="0"/>
                <w:numId w:val="14"/>
              </w:numPr>
              <w:ind w:left="175" w:hanging="175"/>
              <w:jc w:val="both"/>
              <w:rPr>
                <w:rFonts w:cstheme="minorHAnsi"/>
                <w:sz w:val="20"/>
                <w:szCs w:val="20"/>
              </w:rPr>
            </w:pPr>
            <w:r w:rsidRPr="00813A45">
              <w:rPr>
                <w:rFonts w:cstheme="minorHAnsi"/>
                <w:sz w:val="20"/>
                <w:szCs w:val="20"/>
              </w:rPr>
              <w:t>Per fissare i contenitori al muro, usare gli appositi supporti (vedi accessori). Usare raccordi flessibili con filettatura cilindrica a passo gas (fig.</w:t>
            </w:r>
            <w:r w:rsidR="00344B62">
              <w:rPr>
                <w:rFonts w:cstheme="minorHAnsi"/>
                <w:sz w:val="20"/>
                <w:szCs w:val="20"/>
              </w:rPr>
              <w:t xml:space="preserve"> </w:t>
            </w:r>
            <w:r w:rsidRPr="00813A45">
              <w:rPr>
                <w:rFonts w:cstheme="minorHAnsi"/>
                <w:sz w:val="20"/>
                <w:szCs w:val="20"/>
              </w:rPr>
              <w:t>B). Non usare raccordi conici né tubature filettate direttamente sul contenitore (fig.</w:t>
            </w:r>
            <w:r w:rsidR="00344B62">
              <w:rPr>
                <w:rFonts w:cstheme="minorHAnsi"/>
                <w:sz w:val="20"/>
                <w:szCs w:val="20"/>
              </w:rPr>
              <w:t xml:space="preserve"> </w:t>
            </w:r>
            <w:r w:rsidRPr="00813A45">
              <w:rPr>
                <w:rFonts w:cstheme="minorHAnsi"/>
                <w:sz w:val="20"/>
                <w:szCs w:val="20"/>
              </w:rPr>
              <w:t>C).</w:t>
            </w:r>
          </w:p>
          <w:p w:rsidR="00813A45" w:rsidRPr="00813A45" w:rsidRDefault="00813A45" w:rsidP="00344B62">
            <w:pPr>
              <w:pStyle w:val="Paragrafoelenco"/>
              <w:numPr>
                <w:ilvl w:val="0"/>
                <w:numId w:val="14"/>
              </w:numPr>
              <w:ind w:left="175" w:hanging="175"/>
              <w:jc w:val="both"/>
              <w:rPr>
                <w:rFonts w:cstheme="minorHAnsi"/>
                <w:sz w:val="20"/>
                <w:szCs w:val="20"/>
              </w:rPr>
            </w:pPr>
            <w:r w:rsidRPr="00813A45">
              <w:rPr>
                <w:rFonts w:cstheme="minorHAnsi"/>
                <w:sz w:val="20"/>
                <w:szCs w:val="20"/>
              </w:rPr>
              <w:t>Nell’effettuare l’operazione di montaggio prevedere uno spazio operativo (fig.</w:t>
            </w:r>
            <w:r w:rsidR="00344B62">
              <w:rPr>
                <w:rFonts w:cstheme="minorHAnsi"/>
                <w:sz w:val="20"/>
                <w:szCs w:val="20"/>
              </w:rPr>
              <w:t xml:space="preserve"> </w:t>
            </w:r>
            <w:r w:rsidRPr="00813A45">
              <w:rPr>
                <w:rFonts w:cstheme="minorHAnsi"/>
                <w:sz w:val="20"/>
                <w:szCs w:val="20"/>
              </w:rPr>
              <w:t>A) ed un BY-PASS che permetta di isolare l’impianto durante la manutenzione o sostituzione (fig.</w:t>
            </w:r>
            <w:r w:rsidR="00344B62">
              <w:rPr>
                <w:rFonts w:cstheme="minorHAnsi"/>
                <w:sz w:val="20"/>
                <w:szCs w:val="20"/>
              </w:rPr>
              <w:t xml:space="preserve"> </w:t>
            </w:r>
            <w:r w:rsidRPr="00813A45">
              <w:rPr>
                <w:rFonts w:cstheme="minorHAnsi"/>
                <w:sz w:val="20"/>
                <w:szCs w:val="20"/>
              </w:rPr>
              <w:t>B).</w:t>
            </w:r>
          </w:p>
          <w:p w:rsidR="00813A45" w:rsidRPr="00344B62" w:rsidRDefault="00813A45" w:rsidP="00344B62">
            <w:pPr>
              <w:pStyle w:val="Paragrafoelenco"/>
              <w:numPr>
                <w:ilvl w:val="0"/>
                <w:numId w:val="14"/>
              </w:numPr>
              <w:ind w:left="175" w:hanging="175"/>
              <w:jc w:val="both"/>
              <w:rPr>
                <w:rFonts w:cstheme="minorHAnsi"/>
                <w:sz w:val="20"/>
                <w:szCs w:val="20"/>
              </w:rPr>
            </w:pPr>
            <w:r w:rsidRPr="00813A45">
              <w:rPr>
                <w:rFonts w:cstheme="minorHAnsi"/>
                <w:sz w:val="20"/>
                <w:szCs w:val="20"/>
              </w:rPr>
              <w:t>Nella fase di montaggio non utilizzare paste sigillanti,</w:t>
            </w:r>
            <w:r w:rsidR="00344B62">
              <w:rPr>
                <w:rFonts w:cstheme="minorHAnsi"/>
                <w:sz w:val="20"/>
                <w:szCs w:val="20"/>
              </w:rPr>
              <w:t xml:space="preserve"> </w:t>
            </w:r>
            <w:r w:rsidRPr="00344B62">
              <w:rPr>
                <w:rFonts w:cstheme="minorHAnsi"/>
                <w:sz w:val="20"/>
                <w:szCs w:val="20"/>
              </w:rPr>
              <w:t>siliconi o canapa ma solo TEFLON (fig.</w:t>
            </w:r>
            <w:r w:rsidR="00344B62">
              <w:rPr>
                <w:rFonts w:cstheme="minorHAnsi"/>
                <w:sz w:val="20"/>
                <w:szCs w:val="20"/>
              </w:rPr>
              <w:t xml:space="preserve"> </w:t>
            </w:r>
            <w:r w:rsidRPr="00344B62">
              <w:rPr>
                <w:rFonts w:cstheme="minorHAnsi"/>
                <w:sz w:val="20"/>
                <w:szCs w:val="20"/>
              </w:rPr>
              <w:t>D).</w:t>
            </w:r>
          </w:p>
        </w:tc>
        <w:tc>
          <w:tcPr>
            <w:tcW w:w="5316" w:type="dxa"/>
          </w:tcPr>
          <w:p w:rsidR="00813A45" w:rsidRPr="00344B62" w:rsidRDefault="00813A45" w:rsidP="00344B62">
            <w:pPr>
              <w:jc w:val="both"/>
              <w:rPr>
                <w:rFonts w:cstheme="minorHAnsi"/>
                <w:i/>
                <w:sz w:val="20"/>
                <w:szCs w:val="20"/>
                <w:u w:val="single"/>
                <w:lang w:val="en-GB"/>
              </w:rPr>
            </w:pPr>
            <w:r w:rsidRPr="00344B62">
              <w:rPr>
                <w:rFonts w:cstheme="minorHAnsi"/>
                <w:i/>
                <w:sz w:val="20"/>
                <w:szCs w:val="20"/>
                <w:u w:val="single"/>
                <w:lang w:val="en-GB"/>
              </w:rPr>
              <w:t>GENERAL INSTRUCTIONS FOR USE, MAINTENANCE AND INSTALLATION</w:t>
            </w:r>
          </w:p>
          <w:p w:rsidR="00813A45" w:rsidRPr="003E76ED" w:rsidRDefault="00813A45" w:rsidP="00813A45">
            <w:pPr>
              <w:jc w:val="both"/>
              <w:rPr>
                <w:rFonts w:cstheme="minorHAnsi"/>
                <w:sz w:val="16"/>
                <w:szCs w:val="16"/>
                <w:lang w:val="en-GB"/>
              </w:rPr>
            </w:pPr>
          </w:p>
          <w:p w:rsidR="00813A45" w:rsidRPr="00344B62" w:rsidRDefault="00813A45" w:rsidP="00344B62">
            <w:pPr>
              <w:pStyle w:val="Paragrafoelenco"/>
              <w:numPr>
                <w:ilvl w:val="0"/>
                <w:numId w:val="14"/>
              </w:numPr>
              <w:ind w:left="156" w:hanging="156"/>
              <w:jc w:val="both"/>
              <w:rPr>
                <w:rFonts w:cstheme="minorHAnsi"/>
                <w:sz w:val="20"/>
                <w:szCs w:val="20"/>
                <w:lang w:val="en-GB"/>
              </w:rPr>
            </w:pPr>
            <w:r w:rsidRPr="00344B62">
              <w:rPr>
                <w:rFonts w:cstheme="minorHAnsi"/>
                <w:sz w:val="20"/>
                <w:szCs w:val="20"/>
                <w:lang w:val="en-GB"/>
              </w:rPr>
              <w:t>The filter housings shown in this catalogue may be used only for the purposes indicated by the manufacturer. AMG Srl doesn’t assume any liability in case of not authorized different utilisation.</w:t>
            </w:r>
          </w:p>
          <w:p w:rsidR="00813A45" w:rsidRPr="00344B62" w:rsidRDefault="00813A45" w:rsidP="00344B62">
            <w:pPr>
              <w:pStyle w:val="Paragrafoelenco"/>
              <w:numPr>
                <w:ilvl w:val="0"/>
                <w:numId w:val="14"/>
              </w:numPr>
              <w:ind w:left="156" w:hanging="156"/>
              <w:jc w:val="both"/>
              <w:rPr>
                <w:rFonts w:cstheme="minorHAnsi"/>
                <w:sz w:val="20"/>
                <w:szCs w:val="20"/>
                <w:lang w:val="en-GB"/>
              </w:rPr>
            </w:pPr>
            <w:r w:rsidRPr="00344B62">
              <w:rPr>
                <w:rFonts w:cstheme="minorHAnsi"/>
                <w:sz w:val="20"/>
                <w:szCs w:val="20"/>
                <w:lang w:val="en-GB"/>
              </w:rPr>
              <w:t>All  filter housings may be used only  within the limit of the relative  working  pressures and temperatures stated in  this catalogue.</w:t>
            </w:r>
          </w:p>
          <w:p w:rsidR="00813A45" w:rsidRPr="00344B62" w:rsidRDefault="00813A45" w:rsidP="00344B62">
            <w:pPr>
              <w:pStyle w:val="Paragrafoelenco"/>
              <w:numPr>
                <w:ilvl w:val="0"/>
                <w:numId w:val="14"/>
              </w:numPr>
              <w:ind w:left="156" w:hanging="156"/>
              <w:jc w:val="both"/>
              <w:rPr>
                <w:rFonts w:cstheme="minorHAnsi"/>
                <w:sz w:val="20"/>
                <w:szCs w:val="20"/>
                <w:lang w:val="en-GB"/>
              </w:rPr>
            </w:pPr>
            <w:r w:rsidRPr="00344B62">
              <w:rPr>
                <w:rFonts w:cstheme="minorHAnsi"/>
                <w:sz w:val="20"/>
                <w:szCs w:val="20"/>
                <w:lang w:val="en-GB"/>
              </w:rPr>
              <w:t xml:space="preserve">The filter housings equipped with transparent SAN bowls are suitable for the treatment of liquids with neutral  </w:t>
            </w:r>
            <w:proofErr w:type="spellStart"/>
            <w:r w:rsidR="00344B62">
              <w:rPr>
                <w:rFonts w:cstheme="minorHAnsi"/>
                <w:sz w:val="20"/>
                <w:szCs w:val="20"/>
                <w:lang w:val="en-GB"/>
              </w:rPr>
              <w:t>pH.</w:t>
            </w:r>
            <w:proofErr w:type="spellEnd"/>
            <w:r w:rsidR="00344B62">
              <w:rPr>
                <w:rFonts w:cstheme="minorHAnsi"/>
                <w:sz w:val="20"/>
                <w:szCs w:val="20"/>
                <w:lang w:val="en-GB"/>
              </w:rPr>
              <w:t xml:space="preserve"> For liquids with aggressive </w:t>
            </w:r>
            <w:r w:rsidRPr="00344B62">
              <w:rPr>
                <w:rFonts w:cstheme="minorHAnsi"/>
                <w:sz w:val="20"/>
                <w:szCs w:val="20"/>
                <w:lang w:val="en-GB"/>
              </w:rPr>
              <w:t xml:space="preserve">pH please choose the most appropriated  filter housing </w:t>
            </w:r>
            <w:r w:rsidR="00344B62" w:rsidRPr="00344B62">
              <w:rPr>
                <w:rFonts w:cstheme="minorHAnsi"/>
                <w:sz w:val="20"/>
                <w:szCs w:val="20"/>
                <w:lang w:val="en-GB"/>
              </w:rPr>
              <w:t>as per indica</w:t>
            </w:r>
            <w:r w:rsidRPr="00344B62">
              <w:rPr>
                <w:rFonts w:cstheme="minorHAnsi"/>
                <w:sz w:val="20"/>
                <w:szCs w:val="20"/>
                <w:lang w:val="en-GB"/>
              </w:rPr>
              <w:t>tions given in this catalogue.</w:t>
            </w:r>
          </w:p>
          <w:p w:rsidR="00813A45" w:rsidRPr="00344B62" w:rsidRDefault="00813A45" w:rsidP="00344B62">
            <w:pPr>
              <w:pStyle w:val="Paragrafoelenco"/>
              <w:numPr>
                <w:ilvl w:val="0"/>
                <w:numId w:val="14"/>
              </w:numPr>
              <w:ind w:left="156" w:hanging="156"/>
              <w:jc w:val="both"/>
              <w:rPr>
                <w:rFonts w:cstheme="minorHAnsi"/>
                <w:sz w:val="20"/>
                <w:szCs w:val="20"/>
                <w:lang w:val="en-GB"/>
              </w:rPr>
            </w:pPr>
            <w:r w:rsidRPr="00344B62">
              <w:rPr>
                <w:rFonts w:cstheme="minorHAnsi"/>
                <w:sz w:val="20"/>
                <w:szCs w:val="20"/>
                <w:lang w:val="en-GB"/>
              </w:rPr>
              <w:t>Plastic filter housings may neither be</w:t>
            </w:r>
            <w:r w:rsidR="00344B62">
              <w:rPr>
                <w:rFonts w:cstheme="minorHAnsi"/>
                <w:sz w:val="20"/>
                <w:szCs w:val="20"/>
                <w:lang w:val="en-GB"/>
              </w:rPr>
              <w:t xml:space="preserve"> installed nor stored in places </w:t>
            </w:r>
            <w:r w:rsidRPr="00344B62">
              <w:rPr>
                <w:rFonts w:cstheme="minorHAnsi"/>
                <w:sz w:val="20"/>
                <w:szCs w:val="20"/>
                <w:lang w:val="en-GB"/>
              </w:rPr>
              <w:t>exposed to sunlight and/or freezing temperatures. Ultra-violet rays as well as high and very low temperatures may not only limit the lifetime of the appliance but even, compromise its integrity up to breakage.</w:t>
            </w:r>
          </w:p>
          <w:p w:rsidR="00813A45" w:rsidRPr="00344B62" w:rsidRDefault="00813A45" w:rsidP="00344B62">
            <w:pPr>
              <w:pStyle w:val="Paragrafoelenco"/>
              <w:numPr>
                <w:ilvl w:val="0"/>
                <w:numId w:val="14"/>
              </w:numPr>
              <w:ind w:left="156" w:hanging="156"/>
              <w:jc w:val="both"/>
              <w:rPr>
                <w:rFonts w:cstheme="minorHAnsi"/>
                <w:sz w:val="20"/>
                <w:szCs w:val="20"/>
                <w:lang w:val="en-GB"/>
              </w:rPr>
            </w:pPr>
            <w:r w:rsidRPr="00344B62">
              <w:rPr>
                <w:rFonts w:cstheme="minorHAnsi"/>
                <w:sz w:val="20"/>
                <w:szCs w:val="20"/>
                <w:lang w:val="en-GB"/>
              </w:rPr>
              <w:t>If the filter housing  has  to be installed  in a place exposed to light it is advisable to choose an opaque  housing.</w:t>
            </w:r>
          </w:p>
          <w:p w:rsidR="00813A45" w:rsidRPr="00344B62" w:rsidRDefault="00813A45" w:rsidP="00344B62">
            <w:pPr>
              <w:pStyle w:val="Paragrafoelenco"/>
              <w:numPr>
                <w:ilvl w:val="0"/>
                <w:numId w:val="14"/>
              </w:numPr>
              <w:ind w:left="156" w:hanging="156"/>
              <w:jc w:val="both"/>
              <w:rPr>
                <w:rFonts w:cstheme="minorHAnsi"/>
                <w:sz w:val="20"/>
                <w:szCs w:val="20"/>
                <w:lang w:val="en-GB"/>
              </w:rPr>
            </w:pPr>
            <w:r w:rsidRPr="00344B62">
              <w:rPr>
                <w:rFonts w:cstheme="minorHAnsi"/>
                <w:sz w:val="20"/>
                <w:szCs w:val="20"/>
                <w:lang w:val="en-GB"/>
              </w:rPr>
              <w:t xml:space="preserve">For fixing the unit to the wall the appropriated wall brackets should be used (see accessories). For installation of the filter housing use flexible hoses  with  gas  cylindrical  thread  </w:t>
            </w:r>
            <w:r w:rsidR="00C405D4">
              <w:rPr>
                <w:rFonts w:cstheme="minorHAnsi"/>
                <w:sz w:val="20"/>
                <w:szCs w:val="20"/>
                <w:lang w:val="en-GB"/>
              </w:rPr>
              <w:t xml:space="preserve">   </w:t>
            </w:r>
            <w:r w:rsidRPr="00344B62">
              <w:rPr>
                <w:rFonts w:cstheme="minorHAnsi"/>
                <w:sz w:val="20"/>
                <w:szCs w:val="20"/>
                <w:lang w:val="en-GB"/>
              </w:rPr>
              <w:t>(fig.</w:t>
            </w:r>
            <w:r w:rsidR="00344B62">
              <w:rPr>
                <w:rFonts w:cstheme="minorHAnsi"/>
                <w:sz w:val="20"/>
                <w:szCs w:val="20"/>
                <w:lang w:val="en-GB"/>
              </w:rPr>
              <w:t xml:space="preserve"> </w:t>
            </w:r>
            <w:r w:rsidR="00C405D4">
              <w:rPr>
                <w:rFonts w:cstheme="minorHAnsi"/>
                <w:sz w:val="20"/>
                <w:szCs w:val="20"/>
                <w:lang w:val="en-GB"/>
              </w:rPr>
              <w:t xml:space="preserve">B). </w:t>
            </w:r>
            <w:r w:rsidRPr="00344B62">
              <w:rPr>
                <w:rFonts w:cstheme="minorHAnsi"/>
                <w:sz w:val="20"/>
                <w:szCs w:val="20"/>
                <w:lang w:val="en-GB"/>
              </w:rPr>
              <w:t>Do not use conical thread fittings or thread hoses directly onto  the filter housing (fig.</w:t>
            </w:r>
            <w:r w:rsidR="00344B62">
              <w:rPr>
                <w:rFonts w:cstheme="minorHAnsi"/>
                <w:sz w:val="20"/>
                <w:szCs w:val="20"/>
                <w:lang w:val="en-GB"/>
              </w:rPr>
              <w:t xml:space="preserve"> </w:t>
            </w:r>
            <w:r w:rsidRPr="00344B62">
              <w:rPr>
                <w:rFonts w:cstheme="minorHAnsi"/>
                <w:sz w:val="20"/>
                <w:szCs w:val="20"/>
                <w:lang w:val="en-GB"/>
              </w:rPr>
              <w:t>C).</w:t>
            </w:r>
          </w:p>
          <w:p w:rsidR="00813A45" w:rsidRPr="00344B62" w:rsidRDefault="00813A45" w:rsidP="00344B62">
            <w:pPr>
              <w:pStyle w:val="Paragrafoelenco"/>
              <w:numPr>
                <w:ilvl w:val="0"/>
                <w:numId w:val="14"/>
              </w:numPr>
              <w:ind w:left="156" w:hanging="156"/>
              <w:jc w:val="both"/>
              <w:rPr>
                <w:rFonts w:cstheme="minorHAnsi"/>
                <w:sz w:val="20"/>
                <w:szCs w:val="20"/>
                <w:lang w:val="en-GB"/>
              </w:rPr>
            </w:pPr>
            <w:r w:rsidRPr="00344B62">
              <w:rPr>
                <w:rFonts w:cstheme="minorHAnsi"/>
                <w:sz w:val="20"/>
                <w:szCs w:val="20"/>
                <w:lang w:val="en-GB"/>
              </w:rPr>
              <w:t>When installing the filter housing  an operational space must be left (fig.</w:t>
            </w:r>
            <w:r w:rsidR="00344B62">
              <w:rPr>
                <w:rFonts w:cstheme="minorHAnsi"/>
                <w:sz w:val="20"/>
                <w:szCs w:val="20"/>
                <w:lang w:val="en-GB"/>
              </w:rPr>
              <w:t xml:space="preserve"> </w:t>
            </w:r>
            <w:r w:rsidRPr="00344B62">
              <w:rPr>
                <w:rFonts w:cstheme="minorHAnsi"/>
                <w:sz w:val="20"/>
                <w:szCs w:val="20"/>
                <w:lang w:val="en-GB"/>
              </w:rPr>
              <w:t>A). Furthermore a BY-PASS system should be installed allowing to disconnect the filter from the water s</w:t>
            </w:r>
            <w:r w:rsidR="00344B62">
              <w:rPr>
                <w:rFonts w:cstheme="minorHAnsi"/>
                <w:sz w:val="20"/>
                <w:szCs w:val="20"/>
                <w:lang w:val="en-GB"/>
              </w:rPr>
              <w:t xml:space="preserve">upply net during maintenance or </w:t>
            </w:r>
            <w:r w:rsidRPr="00344B62">
              <w:rPr>
                <w:rFonts w:cstheme="minorHAnsi"/>
                <w:sz w:val="20"/>
                <w:szCs w:val="20"/>
                <w:lang w:val="en-GB"/>
              </w:rPr>
              <w:t>replacement  operations (fig.</w:t>
            </w:r>
            <w:r w:rsidR="00344B62">
              <w:rPr>
                <w:rFonts w:cstheme="minorHAnsi"/>
                <w:sz w:val="20"/>
                <w:szCs w:val="20"/>
                <w:lang w:val="en-GB"/>
              </w:rPr>
              <w:t xml:space="preserve"> </w:t>
            </w:r>
            <w:r w:rsidRPr="00344B62">
              <w:rPr>
                <w:rFonts w:cstheme="minorHAnsi"/>
                <w:sz w:val="20"/>
                <w:szCs w:val="20"/>
                <w:lang w:val="en-GB"/>
              </w:rPr>
              <w:t>B).</w:t>
            </w:r>
          </w:p>
          <w:p w:rsidR="00813A45" w:rsidRPr="00344B62" w:rsidRDefault="00813A45" w:rsidP="00344B62">
            <w:pPr>
              <w:pStyle w:val="Paragrafoelenco"/>
              <w:numPr>
                <w:ilvl w:val="0"/>
                <w:numId w:val="14"/>
              </w:numPr>
              <w:ind w:left="156" w:hanging="156"/>
              <w:jc w:val="both"/>
              <w:rPr>
                <w:rFonts w:cstheme="minorHAnsi"/>
                <w:sz w:val="20"/>
                <w:szCs w:val="20"/>
                <w:lang w:val="en-GB"/>
              </w:rPr>
            </w:pPr>
            <w:r w:rsidRPr="00344B62">
              <w:rPr>
                <w:rFonts w:cstheme="minorHAnsi"/>
                <w:sz w:val="20"/>
                <w:szCs w:val="20"/>
                <w:lang w:val="en-GB"/>
              </w:rPr>
              <w:t>For mounting of  the unit do not use sealant pastes, silicone  or hemp but only TEFLON (fig.</w:t>
            </w:r>
            <w:r w:rsidR="00344B62">
              <w:rPr>
                <w:rFonts w:cstheme="minorHAnsi"/>
                <w:sz w:val="20"/>
                <w:szCs w:val="20"/>
                <w:lang w:val="en-GB"/>
              </w:rPr>
              <w:t xml:space="preserve"> </w:t>
            </w:r>
            <w:r w:rsidRPr="00344B62">
              <w:rPr>
                <w:rFonts w:cstheme="minorHAnsi"/>
                <w:sz w:val="20"/>
                <w:szCs w:val="20"/>
                <w:lang w:val="en-GB"/>
              </w:rPr>
              <w:t>D).</w:t>
            </w:r>
          </w:p>
        </w:tc>
      </w:tr>
      <w:tr w:rsidR="00813A45" w:rsidRPr="00813A45" w:rsidTr="003E76ED">
        <w:trPr>
          <w:trHeight w:val="2835"/>
        </w:trPr>
        <w:tc>
          <w:tcPr>
            <w:tcW w:w="5316" w:type="dxa"/>
          </w:tcPr>
          <w:p w:rsidR="00344B62" w:rsidRPr="00813A45" w:rsidRDefault="003E76ED" w:rsidP="00344B62">
            <w:pPr>
              <w:jc w:val="both"/>
              <w:rPr>
                <w:rFonts w:cstheme="minorHAnsi"/>
                <w:sz w:val="20"/>
                <w:szCs w:val="20"/>
                <w:lang w:val="en-GB"/>
              </w:rPr>
            </w:pPr>
            <w:r>
              <w:rPr>
                <w:noProof/>
                <w:lang w:eastAsia="it-IT"/>
              </w:rPr>
              <w:drawing>
                <wp:anchor distT="0" distB="0" distL="114300" distR="114300" simplePos="0" relativeHeight="251659264" behindDoc="0" locked="0" layoutInCell="1" allowOverlap="1">
                  <wp:simplePos x="0" y="0"/>
                  <wp:positionH relativeFrom="column">
                    <wp:posOffset>185515</wp:posOffset>
                  </wp:positionH>
                  <wp:positionV relativeFrom="paragraph">
                    <wp:posOffset>44118</wp:posOffset>
                  </wp:positionV>
                  <wp:extent cx="2736392" cy="1712794"/>
                  <wp:effectExtent l="0" t="0" r="6985" b="1905"/>
                  <wp:wrapNone/>
                  <wp:docPr id="3" name="Immagine 2">
                    <a:extLst xmlns:a="http://schemas.openxmlformats.org/drawingml/2006/main">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DF66956-E9B5-4395-8D7D-DC20C3B128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a:extLst>
                              <a:ext uri="{FF2B5EF4-FFF2-40B4-BE49-F238E27FC236}">
                                <a16:creationId xmlns:lc="http://schemas.openxmlformats.org/drawingml/2006/lockedCanvas" xmlns="" xmlns:a16="http://schemas.microsoft.com/office/drawing/2014/main" xmlns:xdr="http://schemas.openxmlformats.org/drawingml/2006/spreadsheetDrawing" xmlns:w="http://schemas.openxmlformats.org/wordprocessingml/2006/main" xmlns:w10="urn:schemas-microsoft-com:office:word" xmlns:v="urn:schemas-microsoft-com:vml" xmlns:o="urn:schemas-microsoft-com:office:office" id="{CDF66956-E9B5-4395-8D7D-DC20C3B1284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36392" cy="1712794"/>
                          </a:xfrm>
                          <a:prstGeom prst="rect">
                            <a:avLst/>
                          </a:prstGeom>
                        </pic:spPr>
                      </pic:pic>
                    </a:graphicData>
                  </a:graphic>
                  <wp14:sizeRelH relativeFrom="page">
                    <wp14:pctWidth>0</wp14:pctWidth>
                  </wp14:sizeRelH>
                  <wp14:sizeRelV relativeFrom="page">
                    <wp14:pctHeight>0</wp14:pctHeight>
                  </wp14:sizeRelV>
                </wp:anchor>
              </w:drawing>
            </w:r>
          </w:p>
        </w:tc>
        <w:tc>
          <w:tcPr>
            <w:tcW w:w="5316" w:type="dxa"/>
          </w:tcPr>
          <w:p w:rsidR="00813A45" w:rsidRPr="00344B62" w:rsidRDefault="003E76ED" w:rsidP="00344B62">
            <w:pPr>
              <w:jc w:val="both"/>
              <w:rPr>
                <w:rFonts w:cstheme="minorHAnsi"/>
                <w:sz w:val="20"/>
                <w:szCs w:val="20"/>
                <w:lang w:val="en-GB"/>
              </w:rPr>
            </w:pPr>
            <w:r>
              <w:rPr>
                <w:noProof/>
                <w:lang w:eastAsia="it-IT"/>
              </w:rPr>
              <w:drawing>
                <wp:anchor distT="0" distB="0" distL="114300" distR="114300" simplePos="0" relativeHeight="251661312" behindDoc="0" locked="0" layoutInCell="1" allowOverlap="1" wp14:anchorId="34D55D90" wp14:editId="78733055">
                  <wp:simplePos x="0" y="0"/>
                  <wp:positionH relativeFrom="column">
                    <wp:posOffset>251270</wp:posOffset>
                  </wp:positionH>
                  <wp:positionV relativeFrom="paragraph">
                    <wp:posOffset>46100</wp:posOffset>
                  </wp:positionV>
                  <wp:extent cx="2736392" cy="1712794"/>
                  <wp:effectExtent l="0" t="0" r="6985" b="1905"/>
                  <wp:wrapNone/>
                  <wp:docPr id="11" name="Immagine 2">
                    <a:extLst xmlns:a="http://schemas.openxmlformats.org/drawingml/2006/main">
                      <a:ext uri="{FF2B5EF4-FFF2-40B4-BE49-F238E27FC236}">
                        <a16:creationId xmlns:arto="http://schemas.microsoft.com/office/word/2006/arto" xmlns:xdr="http://schemas.openxmlformats.org/drawingml/2006/spreadsheetDrawing" xmlns:a16="http://schemas.microsoft.com/office/drawing/2014/main" xmlns="" xmlns:lc="http://schemas.openxmlformats.org/drawingml/2006/lockedCanvas" xmlns:w="http://schemas.openxmlformats.org/wordprocessingml/2006/main" xmlns:w10="urn:schemas-microsoft-com:office:word" xmlns:v="urn:schemas-microsoft-com:vml" xmlns:o="urn:schemas-microsoft-com:office:office" id="{CDF66956-E9B5-4395-8D7D-DC20C3B1284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a:extLst>
                              <a:ext uri="{FF2B5EF4-FFF2-40B4-BE49-F238E27FC236}">
                                <a16:creationId xmlns:arto="http://schemas.microsoft.com/office/word/2006/arto" xmlns:xdr="http://schemas.openxmlformats.org/drawingml/2006/spreadsheetDrawing" xmlns:a16="http://schemas.microsoft.com/office/drawing/2014/main" xmlns="" xmlns:lc="http://schemas.openxmlformats.org/drawingml/2006/lockedCanvas" xmlns:w="http://schemas.openxmlformats.org/wordprocessingml/2006/main" xmlns:w10="urn:schemas-microsoft-com:office:word" xmlns:v="urn:schemas-microsoft-com:vml" xmlns:o="urn:schemas-microsoft-com:office:office" id="{CDF66956-E9B5-4395-8D7D-DC20C3B12840}"/>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36392" cy="1712794"/>
                          </a:xfrm>
                          <a:prstGeom prst="rect">
                            <a:avLst/>
                          </a:prstGeom>
                        </pic:spPr>
                      </pic:pic>
                    </a:graphicData>
                  </a:graphic>
                  <wp14:sizeRelH relativeFrom="page">
                    <wp14:pctWidth>0</wp14:pctWidth>
                  </wp14:sizeRelH>
                  <wp14:sizeRelV relativeFrom="page">
                    <wp14:pctHeight>0</wp14:pctHeight>
                  </wp14:sizeRelV>
                </wp:anchor>
              </w:drawing>
            </w:r>
          </w:p>
        </w:tc>
      </w:tr>
      <w:tr w:rsidR="00813A45" w:rsidRPr="00C405D4" w:rsidTr="00813A45">
        <w:tc>
          <w:tcPr>
            <w:tcW w:w="5316" w:type="dxa"/>
          </w:tcPr>
          <w:p w:rsidR="00813A45" w:rsidRPr="00344B62" w:rsidRDefault="00813A45" w:rsidP="00344B62">
            <w:pPr>
              <w:jc w:val="both"/>
              <w:rPr>
                <w:rFonts w:cstheme="minorHAnsi"/>
                <w:i/>
                <w:sz w:val="20"/>
                <w:szCs w:val="20"/>
                <w:u w:val="single"/>
              </w:rPr>
            </w:pPr>
            <w:r w:rsidRPr="00344B62">
              <w:rPr>
                <w:rFonts w:cstheme="minorHAnsi"/>
                <w:i/>
                <w:sz w:val="20"/>
                <w:szCs w:val="20"/>
                <w:u w:val="single"/>
              </w:rPr>
              <w:t>MANUTENZIONE</w:t>
            </w:r>
          </w:p>
          <w:p w:rsidR="00344B62" w:rsidRDefault="00813A45" w:rsidP="00344B62">
            <w:pPr>
              <w:pStyle w:val="Paragrafoelenco"/>
              <w:numPr>
                <w:ilvl w:val="0"/>
                <w:numId w:val="14"/>
              </w:numPr>
              <w:ind w:left="175" w:hanging="175"/>
              <w:jc w:val="both"/>
              <w:rPr>
                <w:rFonts w:cstheme="minorHAnsi"/>
                <w:sz w:val="20"/>
                <w:szCs w:val="20"/>
              </w:rPr>
            </w:pPr>
            <w:r w:rsidRPr="00344B62">
              <w:rPr>
                <w:rFonts w:cstheme="minorHAnsi"/>
                <w:sz w:val="20"/>
                <w:szCs w:val="20"/>
              </w:rPr>
              <w:t>Accertarsi accuratamente che il contenitore prima di essere usato sia perfettamente avvitato. Altrimenti possono verificarsi perdite d’acqua e allagamenti.</w:t>
            </w:r>
          </w:p>
          <w:p w:rsidR="00813A45" w:rsidRPr="00344B62" w:rsidRDefault="00813A45" w:rsidP="00344B62">
            <w:pPr>
              <w:pStyle w:val="Paragrafoelenco"/>
              <w:numPr>
                <w:ilvl w:val="0"/>
                <w:numId w:val="14"/>
              </w:numPr>
              <w:ind w:left="175" w:hanging="175"/>
              <w:jc w:val="both"/>
              <w:rPr>
                <w:rFonts w:cstheme="minorHAnsi"/>
                <w:sz w:val="20"/>
                <w:szCs w:val="20"/>
              </w:rPr>
            </w:pPr>
            <w:r w:rsidRPr="00344B62">
              <w:rPr>
                <w:rFonts w:cstheme="minorHAnsi"/>
                <w:sz w:val="20"/>
                <w:szCs w:val="20"/>
              </w:rPr>
              <w:t>Per la pulizia dei contenitori usare esclusivamente spugne e acqua corrente. Evitare l’uso di alcool, solventi e detergenti. La pulizia va effettuata almeno ogni volta che si sostituisce la cartuccia filtrante.</w:t>
            </w:r>
          </w:p>
          <w:p w:rsidR="00813A45" w:rsidRPr="00344B62" w:rsidRDefault="00813A45" w:rsidP="00344B62">
            <w:pPr>
              <w:pStyle w:val="Paragrafoelenco"/>
              <w:numPr>
                <w:ilvl w:val="0"/>
                <w:numId w:val="14"/>
              </w:numPr>
              <w:ind w:left="175" w:hanging="175"/>
              <w:jc w:val="both"/>
              <w:rPr>
                <w:rFonts w:cstheme="minorHAnsi"/>
                <w:sz w:val="20"/>
                <w:szCs w:val="20"/>
              </w:rPr>
            </w:pPr>
            <w:r w:rsidRPr="00344B62">
              <w:rPr>
                <w:rFonts w:cstheme="minorHAnsi"/>
                <w:sz w:val="20"/>
                <w:szCs w:val="20"/>
              </w:rPr>
              <w:t>In caso di caduta del contenitore durante l’operazione di manutenzione</w:t>
            </w:r>
            <w:r w:rsidR="00344B62" w:rsidRPr="00344B62">
              <w:rPr>
                <w:rFonts w:cstheme="minorHAnsi"/>
                <w:sz w:val="20"/>
                <w:szCs w:val="20"/>
              </w:rPr>
              <w:t xml:space="preserve"> </w:t>
            </w:r>
            <w:r w:rsidRPr="00344B62">
              <w:rPr>
                <w:rFonts w:cstheme="minorHAnsi"/>
                <w:sz w:val="20"/>
                <w:szCs w:val="20"/>
              </w:rPr>
              <w:t>pulizia, si consiglia di effettuare la sostituzione del contenitore stesso in quanto potrebbero essere avvenute delle micro rotture che, anche se</w:t>
            </w:r>
            <w:r w:rsidR="00344B62" w:rsidRPr="00344B62">
              <w:rPr>
                <w:rFonts w:cstheme="minorHAnsi"/>
                <w:sz w:val="20"/>
                <w:szCs w:val="20"/>
              </w:rPr>
              <w:t xml:space="preserve"> </w:t>
            </w:r>
            <w:r w:rsidRPr="00344B62">
              <w:rPr>
                <w:rFonts w:cstheme="minorHAnsi"/>
                <w:sz w:val="20"/>
                <w:szCs w:val="20"/>
              </w:rPr>
              <w:t>non visibili, potrebbero causare la rottura completa del contenitore.</w:t>
            </w:r>
          </w:p>
        </w:tc>
        <w:tc>
          <w:tcPr>
            <w:tcW w:w="5316" w:type="dxa"/>
          </w:tcPr>
          <w:p w:rsidR="00813A45" w:rsidRPr="00344B62" w:rsidRDefault="00813A45" w:rsidP="00344B62">
            <w:pPr>
              <w:jc w:val="both"/>
              <w:rPr>
                <w:rFonts w:cstheme="minorHAnsi"/>
                <w:i/>
                <w:sz w:val="20"/>
                <w:szCs w:val="20"/>
                <w:u w:val="single"/>
                <w:lang w:val="en-GB"/>
              </w:rPr>
            </w:pPr>
            <w:r w:rsidRPr="00344B62">
              <w:rPr>
                <w:rFonts w:cstheme="minorHAnsi"/>
                <w:i/>
                <w:sz w:val="20"/>
                <w:szCs w:val="20"/>
                <w:u w:val="single"/>
                <w:lang w:val="en-GB"/>
              </w:rPr>
              <w:t>MAINTENANCE</w:t>
            </w:r>
          </w:p>
          <w:p w:rsidR="00813A45" w:rsidRPr="00344B62" w:rsidRDefault="00813A45" w:rsidP="00344B62">
            <w:pPr>
              <w:pStyle w:val="Paragrafoelenco"/>
              <w:numPr>
                <w:ilvl w:val="0"/>
                <w:numId w:val="14"/>
              </w:numPr>
              <w:ind w:left="156" w:hanging="141"/>
              <w:jc w:val="both"/>
              <w:rPr>
                <w:rFonts w:cstheme="minorHAnsi"/>
                <w:sz w:val="20"/>
                <w:szCs w:val="20"/>
                <w:lang w:val="en-GB"/>
              </w:rPr>
            </w:pPr>
            <w:r w:rsidRPr="00344B62">
              <w:rPr>
                <w:rFonts w:cstheme="minorHAnsi"/>
                <w:sz w:val="20"/>
                <w:szCs w:val="20"/>
                <w:lang w:val="en-GB"/>
              </w:rPr>
              <w:t>Before using the filter make sure that the filter housing is perfectly screwed, otherwise water will leak  and may cause flooding.</w:t>
            </w:r>
          </w:p>
          <w:p w:rsidR="00813A45" w:rsidRPr="00344B62" w:rsidRDefault="00813A45" w:rsidP="00344B62">
            <w:pPr>
              <w:pStyle w:val="Paragrafoelenco"/>
              <w:numPr>
                <w:ilvl w:val="0"/>
                <w:numId w:val="14"/>
              </w:numPr>
              <w:ind w:left="156" w:hanging="141"/>
              <w:jc w:val="both"/>
              <w:rPr>
                <w:rFonts w:cstheme="minorHAnsi"/>
                <w:sz w:val="20"/>
                <w:szCs w:val="20"/>
                <w:lang w:val="en-GB"/>
              </w:rPr>
            </w:pPr>
            <w:r w:rsidRPr="00344B62">
              <w:rPr>
                <w:rFonts w:cstheme="minorHAnsi"/>
                <w:sz w:val="20"/>
                <w:szCs w:val="20"/>
                <w:lang w:val="en-GB"/>
              </w:rPr>
              <w:t xml:space="preserve">For cleaning  the housing  only use a sponge and running water. Do not use alcohol, solvents or detergents. The housing must be cleaned  at </w:t>
            </w:r>
            <w:r w:rsidR="00344B62">
              <w:rPr>
                <w:rFonts w:cstheme="minorHAnsi"/>
                <w:sz w:val="20"/>
                <w:szCs w:val="20"/>
                <w:lang w:val="en-GB"/>
              </w:rPr>
              <w:t xml:space="preserve"> </w:t>
            </w:r>
            <w:r w:rsidRPr="00344B62">
              <w:rPr>
                <w:rFonts w:cstheme="minorHAnsi"/>
                <w:sz w:val="20"/>
                <w:szCs w:val="20"/>
                <w:lang w:val="en-GB"/>
              </w:rPr>
              <w:t>least every time you replace the filter cartridge.</w:t>
            </w:r>
          </w:p>
          <w:p w:rsidR="00813A45" w:rsidRPr="00344B62" w:rsidRDefault="00813A45" w:rsidP="00344B62">
            <w:pPr>
              <w:pStyle w:val="Paragrafoelenco"/>
              <w:numPr>
                <w:ilvl w:val="0"/>
                <w:numId w:val="14"/>
              </w:numPr>
              <w:ind w:left="156" w:hanging="141"/>
              <w:jc w:val="both"/>
              <w:rPr>
                <w:rFonts w:cstheme="minorHAnsi"/>
                <w:sz w:val="20"/>
                <w:szCs w:val="20"/>
                <w:lang w:val="en-GB"/>
              </w:rPr>
            </w:pPr>
            <w:r w:rsidRPr="00344B62">
              <w:rPr>
                <w:rFonts w:cstheme="minorHAnsi"/>
                <w:sz w:val="20"/>
                <w:szCs w:val="20"/>
                <w:lang w:val="en-GB"/>
              </w:rPr>
              <w:t>If the bowl should drop on the floor dur</w:t>
            </w:r>
            <w:r w:rsidR="00344B62">
              <w:rPr>
                <w:rFonts w:cstheme="minorHAnsi"/>
                <w:sz w:val="20"/>
                <w:szCs w:val="20"/>
                <w:lang w:val="en-GB"/>
              </w:rPr>
              <w:t xml:space="preserve">ing the maintenance operations </w:t>
            </w:r>
            <w:r w:rsidRPr="00344B62">
              <w:rPr>
                <w:rFonts w:cstheme="minorHAnsi"/>
                <w:sz w:val="20"/>
                <w:szCs w:val="20"/>
                <w:lang w:val="en-GB"/>
              </w:rPr>
              <w:t>it must be replaced  as this  could cause some breakages  which, even though they might be invisible to the naked  eye,  can lead to  breakage of the bowl.</w:t>
            </w:r>
          </w:p>
        </w:tc>
      </w:tr>
      <w:tr w:rsidR="00813A45" w:rsidRPr="00C405D4" w:rsidTr="00813A45">
        <w:tc>
          <w:tcPr>
            <w:tcW w:w="5316" w:type="dxa"/>
          </w:tcPr>
          <w:p w:rsidR="00813A45" w:rsidRPr="003E76ED" w:rsidRDefault="00C405D4" w:rsidP="00344B62">
            <w:pPr>
              <w:jc w:val="both"/>
              <w:rPr>
                <w:rFonts w:cstheme="minorHAnsi"/>
                <w:i/>
                <w:sz w:val="20"/>
                <w:szCs w:val="20"/>
                <w:u w:val="single"/>
              </w:rPr>
            </w:pPr>
            <w:r w:rsidRPr="00813A45">
              <w:rPr>
                <w:rFonts w:cstheme="minorHAnsi"/>
                <w:b/>
                <w:bCs/>
                <w:noProof/>
                <w:sz w:val="20"/>
                <w:szCs w:val="20"/>
                <w:lang w:eastAsia="it-IT"/>
              </w:rPr>
              <w:lastRenderedPageBreak/>
              <w:drawing>
                <wp:anchor distT="0" distB="0" distL="114300" distR="114300" simplePos="0" relativeHeight="251665408" behindDoc="0" locked="0" layoutInCell="1" allowOverlap="1" wp14:anchorId="5EBD5575" wp14:editId="20844525">
                  <wp:simplePos x="0" y="0"/>
                  <wp:positionH relativeFrom="column">
                    <wp:posOffset>-167915</wp:posOffset>
                  </wp:positionH>
                  <wp:positionV relativeFrom="paragraph">
                    <wp:posOffset>-524965</wp:posOffset>
                  </wp:positionV>
                  <wp:extent cx="968375" cy="418465"/>
                  <wp:effectExtent l="0" t="0" r="3175" b="635"/>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68375" cy="418465"/>
                          </a:xfrm>
                          <a:prstGeom prst="rect">
                            <a:avLst/>
                          </a:prstGeom>
                          <a:noFill/>
                        </pic:spPr>
                      </pic:pic>
                    </a:graphicData>
                  </a:graphic>
                  <wp14:sizeRelH relativeFrom="page">
                    <wp14:pctWidth>0</wp14:pctWidth>
                  </wp14:sizeRelH>
                  <wp14:sizeRelV relativeFrom="page">
                    <wp14:pctHeight>0</wp14:pctHeight>
                  </wp14:sizeRelV>
                </wp:anchor>
              </w:drawing>
            </w:r>
            <w:r w:rsidR="00813A45" w:rsidRPr="003E76ED">
              <w:rPr>
                <w:rFonts w:cstheme="minorHAnsi"/>
                <w:i/>
                <w:sz w:val="20"/>
                <w:szCs w:val="20"/>
                <w:u w:val="single"/>
              </w:rPr>
              <w:t>SOSTITUZIONE DELLA CARTUCCIA</w:t>
            </w:r>
          </w:p>
          <w:p w:rsidR="00813A45" w:rsidRPr="00344B62" w:rsidRDefault="00813A45" w:rsidP="00344B62">
            <w:pPr>
              <w:pStyle w:val="Paragrafoelenco"/>
              <w:numPr>
                <w:ilvl w:val="0"/>
                <w:numId w:val="14"/>
              </w:numPr>
              <w:ind w:left="175" w:hanging="175"/>
              <w:jc w:val="both"/>
              <w:rPr>
                <w:rFonts w:cstheme="minorHAnsi"/>
                <w:sz w:val="20"/>
                <w:szCs w:val="20"/>
              </w:rPr>
            </w:pPr>
            <w:r w:rsidRPr="00344B62">
              <w:rPr>
                <w:rFonts w:cstheme="minorHAnsi"/>
                <w:sz w:val="20"/>
                <w:szCs w:val="20"/>
              </w:rPr>
              <w:t xml:space="preserve">Chiudere il flusso dell’acqua o, se </w:t>
            </w:r>
            <w:r w:rsidR="00C405D4" w:rsidRPr="00344B62">
              <w:rPr>
                <w:rFonts w:cstheme="minorHAnsi"/>
                <w:sz w:val="20"/>
                <w:szCs w:val="20"/>
              </w:rPr>
              <w:t>è</w:t>
            </w:r>
            <w:r w:rsidRPr="00344B62">
              <w:rPr>
                <w:rFonts w:cstheme="minorHAnsi"/>
                <w:sz w:val="20"/>
                <w:szCs w:val="20"/>
              </w:rPr>
              <w:t xml:space="preserve"> stato installato un By-pass, isolare il contenitore.</w:t>
            </w:r>
          </w:p>
          <w:p w:rsidR="00813A45" w:rsidRPr="00344B62" w:rsidRDefault="00813A45" w:rsidP="00344B62">
            <w:pPr>
              <w:pStyle w:val="Paragrafoelenco"/>
              <w:numPr>
                <w:ilvl w:val="0"/>
                <w:numId w:val="14"/>
              </w:numPr>
              <w:ind w:left="175" w:hanging="175"/>
              <w:jc w:val="both"/>
              <w:rPr>
                <w:rFonts w:cstheme="minorHAnsi"/>
                <w:sz w:val="20"/>
                <w:szCs w:val="20"/>
              </w:rPr>
            </w:pPr>
            <w:r w:rsidRPr="00344B62">
              <w:rPr>
                <w:rFonts w:cstheme="minorHAnsi"/>
                <w:sz w:val="20"/>
                <w:szCs w:val="20"/>
              </w:rPr>
              <w:t>Togliere la pressione dell’apparecchio svitando la valvolina di sfiato, poi svitare l’apparecchio usando l’apposita chiave.</w:t>
            </w:r>
          </w:p>
          <w:p w:rsidR="00813A45" w:rsidRPr="00344B62" w:rsidRDefault="00813A45" w:rsidP="00344B62">
            <w:pPr>
              <w:pStyle w:val="Paragrafoelenco"/>
              <w:numPr>
                <w:ilvl w:val="0"/>
                <w:numId w:val="14"/>
              </w:numPr>
              <w:ind w:left="175" w:hanging="175"/>
              <w:jc w:val="both"/>
              <w:rPr>
                <w:rFonts w:cstheme="minorHAnsi"/>
                <w:sz w:val="20"/>
                <w:szCs w:val="20"/>
              </w:rPr>
            </w:pPr>
            <w:r w:rsidRPr="00344B62">
              <w:rPr>
                <w:rFonts w:cstheme="minorHAnsi"/>
                <w:sz w:val="20"/>
                <w:szCs w:val="20"/>
              </w:rPr>
              <w:t>Dopo aver tolto la cartuccia usata, pulire il contenitore e quindi effettuare la sostituzione della cartuccia.</w:t>
            </w:r>
          </w:p>
          <w:p w:rsidR="00813A45" w:rsidRPr="00344B62" w:rsidRDefault="00813A45" w:rsidP="00344B62">
            <w:pPr>
              <w:pStyle w:val="Paragrafoelenco"/>
              <w:numPr>
                <w:ilvl w:val="0"/>
                <w:numId w:val="14"/>
              </w:numPr>
              <w:ind w:left="175" w:hanging="175"/>
              <w:jc w:val="both"/>
              <w:rPr>
                <w:rFonts w:cstheme="minorHAnsi"/>
                <w:sz w:val="20"/>
                <w:szCs w:val="20"/>
              </w:rPr>
            </w:pPr>
            <w:r w:rsidRPr="00344B62">
              <w:rPr>
                <w:rFonts w:cstheme="minorHAnsi"/>
                <w:sz w:val="20"/>
                <w:szCs w:val="20"/>
              </w:rPr>
              <w:t xml:space="preserve">Prima di riavvitare il vaso alla testata, assicurarsi che </w:t>
            </w:r>
            <w:r w:rsidR="00C405D4">
              <w:rPr>
                <w:rFonts w:cstheme="minorHAnsi"/>
                <w:sz w:val="20"/>
                <w:szCs w:val="20"/>
              </w:rPr>
              <w:t xml:space="preserve">         </w:t>
            </w:r>
            <w:bookmarkStart w:id="0" w:name="_GoBack"/>
            <w:bookmarkEnd w:id="0"/>
            <w:r w:rsidRPr="00344B62">
              <w:rPr>
                <w:rFonts w:cstheme="minorHAnsi"/>
                <w:sz w:val="20"/>
                <w:szCs w:val="20"/>
              </w:rPr>
              <w:t>l’O-Ring sia ben posizionato e quindi riaprire il flusso dell’acqua lasciando aperta la valvolina di sfiato sino alla fuoriuscita di tutta l’aria dal contenitore.</w:t>
            </w:r>
          </w:p>
          <w:p w:rsidR="00813A45" w:rsidRPr="00344B62" w:rsidRDefault="00813A45" w:rsidP="00344B62">
            <w:pPr>
              <w:pStyle w:val="Paragrafoelenco"/>
              <w:numPr>
                <w:ilvl w:val="0"/>
                <w:numId w:val="14"/>
              </w:numPr>
              <w:ind w:left="175" w:hanging="175"/>
              <w:jc w:val="both"/>
              <w:rPr>
                <w:rFonts w:cstheme="minorHAnsi"/>
                <w:sz w:val="20"/>
                <w:szCs w:val="20"/>
              </w:rPr>
            </w:pPr>
            <w:r w:rsidRPr="00344B62">
              <w:rPr>
                <w:rFonts w:cstheme="minorHAnsi"/>
                <w:sz w:val="20"/>
                <w:szCs w:val="20"/>
              </w:rPr>
              <w:t>Lasciare scorrere l’acqua per alcuni minuti prima di utilizzarla.</w:t>
            </w:r>
          </w:p>
          <w:p w:rsidR="00813A45" w:rsidRPr="00344B62" w:rsidRDefault="00813A45" w:rsidP="00344B62">
            <w:pPr>
              <w:pStyle w:val="Paragrafoelenco"/>
              <w:numPr>
                <w:ilvl w:val="0"/>
                <w:numId w:val="14"/>
              </w:numPr>
              <w:ind w:left="175" w:hanging="175"/>
              <w:jc w:val="both"/>
              <w:rPr>
                <w:rFonts w:cstheme="minorHAnsi"/>
                <w:sz w:val="20"/>
                <w:szCs w:val="20"/>
              </w:rPr>
            </w:pPr>
            <w:r w:rsidRPr="00344B62">
              <w:rPr>
                <w:rFonts w:cstheme="minorHAnsi"/>
                <w:sz w:val="20"/>
                <w:szCs w:val="20"/>
              </w:rPr>
              <w:t>Si consiglia la sostituzione della cartuccia filtrante ogni 6 mesi o comunque entro 12 mesi.</w:t>
            </w:r>
          </w:p>
        </w:tc>
        <w:tc>
          <w:tcPr>
            <w:tcW w:w="5316" w:type="dxa"/>
          </w:tcPr>
          <w:p w:rsidR="00813A45" w:rsidRPr="003E76ED" w:rsidRDefault="00813A45" w:rsidP="00344B62">
            <w:pPr>
              <w:jc w:val="both"/>
              <w:rPr>
                <w:rFonts w:cstheme="minorHAnsi"/>
                <w:i/>
                <w:sz w:val="20"/>
                <w:szCs w:val="20"/>
                <w:u w:val="single"/>
                <w:lang w:val="en-GB"/>
              </w:rPr>
            </w:pPr>
            <w:r w:rsidRPr="003E76ED">
              <w:rPr>
                <w:rFonts w:cstheme="minorHAnsi"/>
                <w:i/>
                <w:sz w:val="20"/>
                <w:szCs w:val="20"/>
                <w:u w:val="single"/>
                <w:lang w:val="en-GB"/>
              </w:rPr>
              <w:t>REPLACING OF FILTERING CARTRIDGES</w:t>
            </w:r>
          </w:p>
          <w:p w:rsidR="00813A45" w:rsidRPr="00344B62" w:rsidRDefault="00813A45" w:rsidP="00344B62">
            <w:pPr>
              <w:pStyle w:val="Paragrafoelenco"/>
              <w:numPr>
                <w:ilvl w:val="0"/>
                <w:numId w:val="14"/>
              </w:numPr>
              <w:ind w:left="156" w:hanging="156"/>
              <w:jc w:val="both"/>
              <w:rPr>
                <w:rFonts w:cstheme="minorHAnsi"/>
                <w:sz w:val="20"/>
                <w:szCs w:val="20"/>
                <w:lang w:val="en-GB"/>
              </w:rPr>
            </w:pPr>
            <w:r w:rsidRPr="00344B62">
              <w:rPr>
                <w:rFonts w:cstheme="minorHAnsi"/>
                <w:sz w:val="20"/>
                <w:szCs w:val="20"/>
                <w:lang w:val="en-GB"/>
              </w:rPr>
              <w:t>Turn off the water flow or, if a BY-PASS system has been installed, disconnect  the filter housing.</w:t>
            </w:r>
          </w:p>
          <w:p w:rsidR="00813A45" w:rsidRPr="00344B62" w:rsidRDefault="00813A45" w:rsidP="00344B62">
            <w:pPr>
              <w:pStyle w:val="Paragrafoelenco"/>
              <w:numPr>
                <w:ilvl w:val="0"/>
                <w:numId w:val="14"/>
              </w:numPr>
              <w:ind w:left="156" w:hanging="156"/>
              <w:jc w:val="both"/>
              <w:rPr>
                <w:rFonts w:cstheme="minorHAnsi"/>
                <w:sz w:val="20"/>
                <w:szCs w:val="20"/>
                <w:lang w:val="en-GB"/>
              </w:rPr>
            </w:pPr>
            <w:r w:rsidRPr="00344B62">
              <w:rPr>
                <w:rFonts w:cstheme="minorHAnsi"/>
                <w:sz w:val="20"/>
                <w:szCs w:val="20"/>
                <w:lang w:val="en-GB"/>
              </w:rPr>
              <w:t>Release the pressure from the  housing by loosening  the air valve, then unscrew the bowl  by means of its  proper  wrench.</w:t>
            </w:r>
          </w:p>
          <w:p w:rsidR="00813A45" w:rsidRPr="00344B62" w:rsidRDefault="00813A45" w:rsidP="00344B62">
            <w:pPr>
              <w:pStyle w:val="Paragrafoelenco"/>
              <w:numPr>
                <w:ilvl w:val="0"/>
                <w:numId w:val="14"/>
              </w:numPr>
              <w:ind w:left="156" w:hanging="156"/>
              <w:jc w:val="both"/>
              <w:rPr>
                <w:rFonts w:cstheme="minorHAnsi"/>
                <w:sz w:val="20"/>
                <w:szCs w:val="20"/>
                <w:lang w:val="en-GB"/>
              </w:rPr>
            </w:pPr>
            <w:r w:rsidRPr="00344B62">
              <w:rPr>
                <w:rFonts w:cstheme="minorHAnsi"/>
                <w:sz w:val="20"/>
                <w:szCs w:val="20"/>
                <w:lang w:val="en-GB"/>
              </w:rPr>
              <w:t>Remove the used  cartridge, clean the filter housing and replace the cartridge.</w:t>
            </w:r>
          </w:p>
          <w:p w:rsidR="00813A45" w:rsidRPr="00C405D4" w:rsidRDefault="00813A45" w:rsidP="00C405D4">
            <w:pPr>
              <w:pStyle w:val="Paragrafoelenco"/>
              <w:numPr>
                <w:ilvl w:val="0"/>
                <w:numId w:val="14"/>
              </w:numPr>
              <w:ind w:left="156" w:hanging="156"/>
              <w:jc w:val="both"/>
              <w:rPr>
                <w:rFonts w:cstheme="minorHAnsi"/>
                <w:sz w:val="20"/>
                <w:szCs w:val="20"/>
                <w:lang w:val="en-GB"/>
              </w:rPr>
            </w:pPr>
            <w:r w:rsidRPr="00344B62">
              <w:rPr>
                <w:rFonts w:cstheme="minorHAnsi"/>
                <w:sz w:val="20"/>
                <w:szCs w:val="20"/>
                <w:lang w:val="en-GB"/>
              </w:rPr>
              <w:t>Before screwing the bowl to  the head, make sure that the O-Ring and the cartridge are correctly positioned.</w:t>
            </w:r>
            <w:r w:rsidR="00C405D4">
              <w:rPr>
                <w:rFonts w:cstheme="minorHAnsi"/>
                <w:sz w:val="20"/>
                <w:szCs w:val="20"/>
                <w:lang w:val="en-GB"/>
              </w:rPr>
              <w:t xml:space="preserve"> </w:t>
            </w:r>
            <w:r w:rsidRPr="00C405D4">
              <w:rPr>
                <w:rFonts w:cstheme="minorHAnsi"/>
                <w:sz w:val="20"/>
                <w:szCs w:val="20"/>
                <w:lang w:val="en-GB"/>
              </w:rPr>
              <w:t>Turn on the water flow and leave   the air valve open until the air has completely escaped from  the filter housing.</w:t>
            </w:r>
          </w:p>
          <w:p w:rsidR="00813A45" w:rsidRPr="00344B62" w:rsidRDefault="00813A45" w:rsidP="00344B62">
            <w:pPr>
              <w:pStyle w:val="Paragrafoelenco"/>
              <w:numPr>
                <w:ilvl w:val="0"/>
                <w:numId w:val="14"/>
              </w:numPr>
              <w:ind w:left="156" w:hanging="156"/>
              <w:jc w:val="both"/>
              <w:rPr>
                <w:rFonts w:cstheme="minorHAnsi"/>
                <w:sz w:val="20"/>
                <w:szCs w:val="20"/>
                <w:lang w:val="en-GB"/>
              </w:rPr>
            </w:pPr>
            <w:r w:rsidRPr="00344B62">
              <w:rPr>
                <w:rFonts w:cstheme="minorHAnsi"/>
                <w:sz w:val="20"/>
                <w:szCs w:val="20"/>
                <w:lang w:val="en-GB"/>
              </w:rPr>
              <w:t>Leave  the water running for a few minutes before reusing it.</w:t>
            </w:r>
          </w:p>
          <w:p w:rsidR="00813A45" w:rsidRPr="00344B62" w:rsidRDefault="00813A45" w:rsidP="00344B62">
            <w:pPr>
              <w:pStyle w:val="Paragrafoelenco"/>
              <w:numPr>
                <w:ilvl w:val="0"/>
                <w:numId w:val="14"/>
              </w:numPr>
              <w:ind w:left="156" w:hanging="156"/>
              <w:jc w:val="both"/>
              <w:rPr>
                <w:rFonts w:cstheme="minorHAnsi"/>
                <w:sz w:val="20"/>
                <w:szCs w:val="20"/>
                <w:lang w:val="en-GB"/>
              </w:rPr>
            </w:pPr>
            <w:r w:rsidRPr="00344B62">
              <w:rPr>
                <w:rFonts w:cstheme="minorHAnsi"/>
                <w:sz w:val="20"/>
                <w:szCs w:val="20"/>
                <w:lang w:val="en-GB"/>
              </w:rPr>
              <w:t>We suggest the replacement of the f</w:t>
            </w:r>
            <w:r w:rsidR="00344B62">
              <w:rPr>
                <w:rFonts w:cstheme="minorHAnsi"/>
                <w:sz w:val="20"/>
                <w:szCs w:val="20"/>
                <w:lang w:val="en-GB"/>
              </w:rPr>
              <w:t xml:space="preserve">ilter cartridge every 6 months, </w:t>
            </w:r>
            <w:r w:rsidRPr="00344B62">
              <w:rPr>
                <w:rFonts w:cstheme="minorHAnsi"/>
                <w:sz w:val="20"/>
                <w:szCs w:val="20"/>
                <w:lang w:val="en-GB"/>
              </w:rPr>
              <w:t>anyhow within 12 months</w:t>
            </w:r>
            <w:r w:rsidR="00C405D4">
              <w:rPr>
                <w:rFonts w:cstheme="minorHAnsi"/>
                <w:sz w:val="20"/>
                <w:szCs w:val="20"/>
                <w:lang w:val="en-GB"/>
              </w:rPr>
              <w:t>.</w:t>
            </w:r>
          </w:p>
        </w:tc>
      </w:tr>
      <w:tr w:rsidR="00813A45" w:rsidRPr="00C405D4" w:rsidTr="00813A45">
        <w:tc>
          <w:tcPr>
            <w:tcW w:w="5316" w:type="dxa"/>
          </w:tcPr>
          <w:p w:rsidR="00813A45" w:rsidRPr="003E76ED" w:rsidRDefault="00813A45" w:rsidP="003E76ED">
            <w:pPr>
              <w:jc w:val="both"/>
              <w:rPr>
                <w:rFonts w:cstheme="minorHAnsi"/>
                <w:i/>
                <w:sz w:val="20"/>
                <w:szCs w:val="20"/>
                <w:u w:val="single"/>
              </w:rPr>
            </w:pPr>
            <w:r w:rsidRPr="003E76ED">
              <w:rPr>
                <w:rFonts w:cstheme="minorHAnsi"/>
                <w:i/>
                <w:sz w:val="20"/>
                <w:szCs w:val="20"/>
                <w:u w:val="single"/>
              </w:rPr>
              <w:t>GARANZIA</w:t>
            </w:r>
          </w:p>
          <w:p w:rsidR="00813A45" w:rsidRPr="00C405D4" w:rsidRDefault="00813A45" w:rsidP="00C405D4">
            <w:pPr>
              <w:tabs>
                <w:tab w:val="left" w:pos="175"/>
              </w:tabs>
              <w:jc w:val="both"/>
              <w:rPr>
                <w:rFonts w:cstheme="minorHAnsi"/>
                <w:sz w:val="20"/>
                <w:szCs w:val="20"/>
              </w:rPr>
            </w:pPr>
            <w:r w:rsidRPr="00C405D4">
              <w:rPr>
                <w:rFonts w:cstheme="minorHAnsi"/>
                <w:sz w:val="20"/>
                <w:szCs w:val="20"/>
              </w:rPr>
              <w:t>Tutti gli articoli prodotti dalla ditta AMG Srl sono coperti da garanzia di 12</w:t>
            </w:r>
            <w:r w:rsidR="003E76ED" w:rsidRPr="00C405D4">
              <w:rPr>
                <w:rFonts w:cstheme="minorHAnsi"/>
                <w:sz w:val="20"/>
                <w:szCs w:val="20"/>
              </w:rPr>
              <w:t xml:space="preserve"> </w:t>
            </w:r>
            <w:r w:rsidRPr="00C405D4">
              <w:rPr>
                <w:rFonts w:cstheme="minorHAnsi"/>
                <w:sz w:val="20"/>
                <w:szCs w:val="20"/>
              </w:rPr>
              <w:t>mesi dalla data d’acquisto alle seguenti condizioni:</w:t>
            </w:r>
          </w:p>
          <w:p w:rsidR="00813A45" w:rsidRPr="003E76ED" w:rsidRDefault="00813A45" w:rsidP="003E76ED">
            <w:pPr>
              <w:pStyle w:val="Paragrafoelenco"/>
              <w:numPr>
                <w:ilvl w:val="0"/>
                <w:numId w:val="14"/>
              </w:numPr>
              <w:tabs>
                <w:tab w:val="left" w:pos="175"/>
              </w:tabs>
              <w:ind w:left="175" w:hanging="175"/>
              <w:jc w:val="both"/>
              <w:rPr>
                <w:rFonts w:cstheme="minorHAnsi"/>
                <w:sz w:val="20"/>
                <w:szCs w:val="20"/>
              </w:rPr>
            </w:pPr>
            <w:r w:rsidRPr="00344B62">
              <w:rPr>
                <w:rFonts w:cstheme="minorHAnsi"/>
                <w:sz w:val="20"/>
                <w:szCs w:val="20"/>
              </w:rPr>
              <w:t>Gli articoli devono essere installati ed utilizzati secondo le norme del</w:t>
            </w:r>
            <w:r w:rsidR="003E76ED">
              <w:rPr>
                <w:rFonts w:cstheme="minorHAnsi"/>
                <w:sz w:val="20"/>
                <w:szCs w:val="20"/>
              </w:rPr>
              <w:t xml:space="preserve"> </w:t>
            </w:r>
            <w:r w:rsidRPr="003E76ED">
              <w:rPr>
                <w:rFonts w:cstheme="minorHAnsi"/>
                <w:sz w:val="20"/>
                <w:szCs w:val="20"/>
              </w:rPr>
              <w:t>costruttore.</w:t>
            </w:r>
          </w:p>
          <w:p w:rsidR="00813A45" w:rsidRPr="003E76ED" w:rsidRDefault="00813A45" w:rsidP="003E76ED">
            <w:pPr>
              <w:pStyle w:val="Paragrafoelenco"/>
              <w:numPr>
                <w:ilvl w:val="0"/>
                <w:numId w:val="14"/>
              </w:numPr>
              <w:tabs>
                <w:tab w:val="left" w:pos="175"/>
              </w:tabs>
              <w:ind w:left="175" w:hanging="175"/>
              <w:jc w:val="both"/>
              <w:rPr>
                <w:rFonts w:cstheme="minorHAnsi"/>
                <w:sz w:val="20"/>
                <w:szCs w:val="20"/>
              </w:rPr>
            </w:pPr>
            <w:r w:rsidRPr="00344B62">
              <w:rPr>
                <w:rFonts w:cstheme="minorHAnsi"/>
                <w:sz w:val="20"/>
                <w:szCs w:val="20"/>
              </w:rPr>
              <w:t>Le operazioni di manutenzione vengo</w:t>
            </w:r>
            <w:r w:rsidR="003E76ED">
              <w:rPr>
                <w:rFonts w:cstheme="minorHAnsi"/>
                <w:sz w:val="20"/>
                <w:szCs w:val="20"/>
              </w:rPr>
              <w:t>no periodicamente effettuate se</w:t>
            </w:r>
            <w:r w:rsidRPr="003E76ED">
              <w:rPr>
                <w:rFonts w:cstheme="minorHAnsi"/>
                <w:sz w:val="20"/>
                <w:szCs w:val="20"/>
              </w:rPr>
              <w:t>condo le norme del costruttore.</w:t>
            </w:r>
          </w:p>
          <w:p w:rsidR="00813A45" w:rsidRPr="00C405D4" w:rsidRDefault="00813A45" w:rsidP="00C405D4">
            <w:pPr>
              <w:pStyle w:val="Paragrafoelenco"/>
              <w:numPr>
                <w:ilvl w:val="0"/>
                <w:numId w:val="14"/>
              </w:numPr>
              <w:tabs>
                <w:tab w:val="left" w:pos="175"/>
              </w:tabs>
              <w:ind w:left="175" w:hanging="175"/>
              <w:jc w:val="both"/>
              <w:rPr>
                <w:rFonts w:cstheme="minorHAnsi"/>
                <w:sz w:val="20"/>
                <w:szCs w:val="20"/>
              </w:rPr>
            </w:pPr>
            <w:r w:rsidRPr="00344B62">
              <w:rPr>
                <w:rFonts w:cstheme="minorHAnsi"/>
                <w:sz w:val="20"/>
                <w:szCs w:val="20"/>
              </w:rPr>
              <w:t xml:space="preserve">La garanzia </w:t>
            </w:r>
            <w:proofErr w:type="spellStart"/>
            <w:r w:rsidRPr="00344B62">
              <w:rPr>
                <w:rFonts w:cstheme="minorHAnsi"/>
                <w:sz w:val="20"/>
                <w:szCs w:val="20"/>
              </w:rPr>
              <w:t>é</w:t>
            </w:r>
            <w:proofErr w:type="spellEnd"/>
            <w:r w:rsidRPr="00344B62">
              <w:rPr>
                <w:rFonts w:cstheme="minorHAnsi"/>
                <w:sz w:val="20"/>
                <w:szCs w:val="20"/>
              </w:rPr>
              <w:t xml:space="preserve"> limitata alla sola sostituzi</w:t>
            </w:r>
            <w:r w:rsidR="003E76ED">
              <w:rPr>
                <w:rFonts w:cstheme="minorHAnsi"/>
                <w:sz w:val="20"/>
                <w:szCs w:val="20"/>
              </w:rPr>
              <w:t>one della parte difettosa esclu</w:t>
            </w:r>
            <w:r w:rsidRPr="003E76ED">
              <w:rPr>
                <w:rFonts w:cstheme="minorHAnsi"/>
                <w:sz w:val="20"/>
                <w:szCs w:val="20"/>
              </w:rPr>
              <w:t>dendo qualsiasi altro diritto di risarcimento per danni diretti o indiretti</w:t>
            </w:r>
            <w:r w:rsidR="00C405D4">
              <w:rPr>
                <w:rFonts w:cstheme="minorHAnsi"/>
                <w:sz w:val="20"/>
                <w:szCs w:val="20"/>
              </w:rPr>
              <w:t xml:space="preserve"> </w:t>
            </w:r>
            <w:r w:rsidRPr="00C405D4">
              <w:rPr>
                <w:rFonts w:cstheme="minorHAnsi"/>
                <w:sz w:val="20"/>
                <w:szCs w:val="20"/>
              </w:rPr>
              <w:t>causati dal prodotto stesso.</w:t>
            </w:r>
          </w:p>
          <w:p w:rsidR="00813A45" w:rsidRPr="003E76ED" w:rsidRDefault="00813A45" w:rsidP="003E76ED">
            <w:pPr>
              <w:pStyle w:val="Paragrafoelenco"/>
              <w:numPr>
                <w:ilvl w:val="0"/>
                <w:numId w:val="14"/>
              </w:numPr>
              <w:tabs>
                <w:tab w:val="left" w:pos="175"/>
              </w:tabs>
              <w:ind w:left="175" w:hanging="175"/>
              <w:jc w:val="both"/>
              <w:rPr>
                <w:rFonts w:cstheme="minorHAnsi"/>
                <w:sz w:val="20"/>
                <w:szCs w:val="20"/>
              </w:rPr>
            </w:pPr>
            <w:r w:rsidRPr="00344B62">
              <w:rPr>
                <w:rFonts w:cstheme="minorHAnsi"/>
                <w:sz w:val="20"/>
                <w:szCs w:val="20"/>
              </w:rPr>
              <w:t>La sostituzione in garanzia verrà effettuata solamente dopo la resa del</w:t>
            </w:r>
            <w:r w:rsidR="003E76ED">
              <w:rPr>
                <w:rFonts w:cstheme="minorHAnsi"/>
                <w:sz w:val="20"/>
                <w:szCs w:val="20"/>
              </w:rPr>
              <w:t xml:space="preserve"> </w:t>
            </w:r>
            <w:r w:rsidRPr="003E76ED">
              <w:rPr>
                <w:rFonts w:cstheme="minorHAnsi"/>
                <w:sz w:val="20"/>
                <w:szCs w:val="20"/>
              </w:rPr>
              <w:t>prodotto ritenuto difettoso e dopo che q</w:t>
            </w:r>
            <w:r w:rsidR="003E76ED">
              <w:rPr>
                <w:rFonts w:cstheme="minorHAnsi"/>
                <w:sz w:val="20"/>
                <w:szCs w:val="20"/>
              </w:rPr>
              <w:t xml:space="preserve">uesto </w:t>
            </w:r>
            <w:proofErr w:type="spellStart"/>
            <w:r w:rsidR="003E76ED">
              <w:rPr>
                <w:rFonts w:cstheme="minorHAnsi"/>
                <w:sz w:val="20"/>
                <w:szCs w:val="20"/>
              </w:rPr>
              <w:t>é</w:t>
            </w:r>
            <w:proofErr w:type="spellEnd"/>
            <w:r w:rsidR="003E76ED">
              <w:rPr>
                <w:rFonts w:cstheme="minorHAnsi"/>
                <w:sz w:val="20"/>
                <w:szCs w:val="20"/>
              </w:rPr>
              <w:t xml:space="preserve"> stato esaminato dai tec</w:t>
            </w:r>
            <w:r w:rsidRPr="003E76ED">
              <w:rPr>
                <w:rFonts w:cstheme="minorHAnsi"/>
                <w:sz w:val="20"/>
                <w:szCs w:val="20"/>
              </w:rPr>
              <w:t>nici AMG per accertarne la difettosità e stabilirne le cause.</w:t>
            </w:r>
          </w:p>
          <w:p w:rsidR="00813A45" w:rsidRPr="003E76ED" w:rsidRDefault="00813A45" w:rsidP="003E76ED">
            <w:pPr>
              <w:pStyle w:val="Paragrafoelenco"/>
              <w:numPr>
                <w:ilvl w:val="0"/>
                <w:numId w:val="14"/>
              </w:numPr>
              <w:tabs>
                <w:tab w:val="left" w:pos="175"/>
              </w:tabs>
              <w:ind w:left="175" w:hanging="175"/>
              <w:jc w:val="both"/>
              <w:rPr>
                <w:rFonts w:cstheme="minorHAnsi"/>
                <w:sz w:val="20"/>
                <w:szCs w:val="20"/>
              </w:rPr>
            </w:pPr>
            <w:r w:rsidRPr="00344B62">
              <w:rPr>
                <w:rFonts w:cstheme="minorHAnsi"/>
                <w:sz w:val="20"/>
                <w:szCs w:val="20"/>
              </w:rPr>
              <w:t>Le spese di trasporto e di manodopera per la sostituzione del pezzo in</w:t>
            </w:r>
            <w:r w:rsidR="003E76ED">
              <w:rPr>
                <w:rFonts w:cstheme="minorHAnsi"/>
                <w:sz w:val="20"/>
                <w:szCs w:val="20"/>
              </w:rPr>
              <w:t xml:space="preserve"> </w:t>
            </w:r>
            <w:r w:rsidRPr="003E76ED">
              <w:rPr>
                <w:rFonts w:cstheme="minorHAnsi"/>
                <w:sz w:val="20"/>
                <w:szCs w:val="20"/>
              </w:rPr>
              <w:t>garanzia, sono a carico dell’acquirente.</w:t>
            </w:r>
          </w:p>
          <w:p w:rsidR="00813A45" w:rsidRPr="003E76ED" w:rsidRDefault="00813A45" w:rsidP="003E76ED">
            <w:pPr>
              <w:pStyle w:val="Paragrafoelenco"/>
              <w:numPr>
                <w:ilvl w:val="0"/>
                <w:numId w:val="14"/>
              </w:numPr>
              <w:tabs>
                <w:tab w:val="left" w:pos="175"/>
              </w:tabs>
              <w:ind w:left="175" w:hanging="175"/>
              <w:jc w:val="both"/>
              <w:rPr>
                <w:rFonts w:cstheme="minorHAnsi"/>
                <w:sz w:val="20"/>
                <w:szCs w:val="20"/>
              </w:rPr>
            </w:pPr>
            <w:r w:rsidRPr="00344B62">
              <w:rPr>
                <w:rFonts w:cstheme="minorHAnsi"/>
                <w:sz w:val="20"/>
                <w:szCs w:val="20"/>
              </w:rPr>
              <w:t xml:space="preserve">La mancata osservanza delle </w:t>
            </w:r>
            <w:r w:rsidR="00C405D4">
              <w:rPr>
                <w:rFonts w:cstheme="minorHAnsi"/>
                <w:sz w:val="20"/>
                <w:szCs w:val="20"/>
              </w:rPr>
              <w:t xml:space="preserve"> norme generali “ ISTRUZIONI PER L’USO , L’UNSTALLAZIONE E LA MANUTENZIONE” </w:t>
            </w:r>
            <w:r w:rsidRPr="003E76ED">
              <w:rPr>
                <w:rFonts w:cstheme="minorHAnsi"/>
                <w:sz w:val="20"/>
                <w:szCs w:val="20"/>
              </w:rPr>
              <w:t xml:space="preserve">sopra indicate, così come il </w:t>
            </w:r>
            <w:r w:rsidR="003E76ED" w:rsidRPr="003E76ED">
              <w:rPr>
                <w:rFonts w:cstheme="minorHAnsi"/>
                <w:sz w:val="20"/>
                <w:szCs w:val="20"/>
              </w:rPr>
              <w:t>non rispetto delle Leggi Italia</w:t>
            </w:r>
            <w:r w:rsidRPr="003E76ED">
              <w:rPr>
                <w:rFonts w:cstheme="minorHAnsi"/>
                <w:sz w:val="20"/>
                <w:szCs w:val="20"/>
              </w:rPr>
              <w:t>ne ed Europee inerenti, fanno decadere ogni garanzia sui prodotti AMG.</w:t>
            </w:r>
          </w:p>
          <w:p w:rsidR="00813A45" w:rsidRPr="00813A45" w:rsidRDefault="00813A45" w:rsidP="00813A45">
            <w:pPr>
              <w:jc w:val="both"/>
              <w:rPr>
                <w:rFonts w:cstheme="minorHAnsi"/>
                <w:sz w:val="20"/>
                <w:szCs w:val="20"/>
              </w:rPr>
            </w:pPr>
          </w:p>
        </w:tc>
        <w:tc>
          <w:tcPr>
            <w:tcW w:w="5316" w:type="dxa"/>
          </w:tcPr>
          <w:p w:rsidR="00813A45" w:rsidRPr="003E76ED" w:rsidRDefault="00813A45" w:rsidP="003E76ED">
            <w:pPr>
              <w:jc w:val="both"/>
              <w:rPr>
                <w:rFonts w:cstheme="minorHAnsi"/>
                <w:i/>
                <w:sz w:val="20"/>
                <w:szCs w:val="20"/>
                <w:u w:val="single"/>
                <w:lang w:val="en-GB"/>
              </w:rPr>
            </w:pPr>
            <w:r w:rsidRPr="003E76ED">
              <w:rPr>
                <w:rFonts w:cstheme="minorHAnsi"/>
                <w:i/>
                <w:sz w:val="20"/>
                <w:szCs w:val="20"/>
                <w:u w:val="single"/>
                <w:lang w:val="en-GB"/>
              </w:rPr>
              <w:t>WARRANTY</w:t>
            </w:r>
          </w:p>
          <w:p w:rsidR="00813A45" w:rsidRPr="00C405D4" w:rsidRDefault="00813A45" w:rsidP="00C405D4">
            <w:pPr>
              <w:jc w:val="both"/>
              <w:rPr>
                <w:rFonts w:cstheme="minorHAnsi"/>
                <w:sz w:val="20"/>
                <w:szCs w:val="20"/>
                <w:lang w:val="en-GB"/>
              </w:rPr>
            </w:pPr>
            <w:r w:rsidRPr="00C405D4">
              <w:rPr>
                <w:rFonts w:cstheme="minorHAnsi"/>
                <w:sz w:val="20"/>
                <w:szCs w:val="20"/>
                <w:lang w:val="en-GB"/>
              </w:rPr>
              <w:t xml:space="preserve">All items manufactured by AMG Srl  are covered by 12 months warrantee </w:t>
            </w:r>
            <w:r w:rsidR="003E76ED" w:rsidRPr="00C405D4">
              <w:rPr>
                <w:rFonts w:cstheme="minorHAnsi"/>
                <w:sz w:val="20"/>
                <w:szCs w:val="20"/>
                <w:lang w:val="en-GB"/>
              </w:rPr>
              <w:t xml:space="preserve"> </w:t>
            </w:r>
            <w:r w:rsidRPr="00C405D4">
              <w:rPr>
                <w:rFonts w:cstheme="minorHAnsi"/>
                <w:sz w:val="20"/>
                <w:szCs w:val="20"/>
                <w:lang w:val="en-GB"/>
              </w:rPr>
              <w:t>from date of purchase under the following conditions:</w:t>
            </w:r>
          </w:p>
          <w:p w:rsidR="00813A45" w:rsidRPr="003E76ED" w:rsidRDefault="00813A45" w:rsidP="003E76ED">
            <w:pPr>
              <w:pStyle w:val="Paragrafoelenco"/>
              <w:numPr>
                <w:ilvl w:val="0"/>
                <w:numId w:val="14"/>
              </w:numPr>
              <w:ind w:left="156" w:hanging="156"/>
              <w:jc w:val="both"/>
              <w:rPr>
                <w:rFonts w:cstheme="minorHAnsi"/>
                <w:sz w:val="20"/>
                <w:szCs w:val="20"/>
                <w:lang w:val="en-GB"/>
              </w:rPr>
            </w:pPr>
            <w:r w:rsidRPr="00344B62">
              <w:rPr>
                <w:rFonts w:cstheme="minorHAnsi"/>
                <w:sz w:val="20"/>
                <w:szCs w:val="20"/>
                <w:lang w:val="en-GB"/>
              </w:rPr>
              <w:t xml:space="preserve">All items must be installed and used according  to  the   manufacturer’s </w:t>
            </w:r>
            <w:r w:rsidRPr="003E76ED">
              <w:rPr>
                <w:rFonts w:cstheme="minorHAnsi"/>
                <w:sz w:val="20"/>
                <w:szCs w:val="20"/>
                <w:lang w:val="en-GB"/>
              </w:rPr>
              <w:t xml:space="preserve">instructions. </w:t>
            </w:r>
          </w:p>
          <w:p w:rsidR="00C405D4" w:rsidRDefault="00813A45" w:rsidP="00C405D4">
            <w:pPr>
              <w:pStyle w:val="Paragrafoelenco"/>
              <w:numPr>
                <w:ilvl w:val="0"/>
                <w:numId w:val="14"/>
              </w:numPr>
              <w:ind w:left="156" w:hanging="156"/>
              <w:jc w:val="both"/>
              <w:rPr>
                <w:rFonts w:cstheme="minorHAnsi"/>
                <w:sz w:val="20"/>
                <w:szCs w:val="20"/>
                <w:lang w:val="en-GB"/>
              </w:rPr>
            </w:pPr>
            <w:r w:rsidRPr="00344B62">
              <w:rPr>
                <w:rFonts w:cstheme="minorHAnsi"/>
                <w:sz w:val="20"/>
                <w:szCs w:val="20"/>
                <w:lang w:val="en-GB"/>
              </w:rPr>
              <w:t>Maintenance operations must be carried out following the</w:t>
            </w:r>
          </w:p>
          <w:p w:rsidR="00813A45" w:rsidRPr="00C405D4" w:rsidRDefault="00813A45" w:rsidP="00C405D4">
            <w:pPr>
              <w:pStyle w:val="Paragrafoelenco"/>
              <w:ind w:left="156"/>
              <w:jc w:val="both"/>
              <w:rPr>
                <w:rFonts w:cstheme="minorHAnsi"/>
                <w:sz w:val="20"/>
                <w:szCs w:val="20"/>
                <w:lang w:val="en-GB"/>
              </w:rPr>
            </w:pPr>
            <w:r w:rsidRPr="00C405D4">
              <w:rPr>
                <w:rFonts w:cstheme="minorHAnsi"/>
                <w:sz w:val="20"/>
                <w:szCs w:val="20"/>
                <w:lang w:val="en-GB"/>
              </w:rPr>
              <w:t>manufacturer’s instructions.</w:t>
            </w:r>
          </w:p>
          <w:p w:rsidR="00813A45" w:rsidRPr="00C405D4" w:rsidRDefault="00813A45" w:rsidP="00C405D4">
            <w:pPr>
              <w:pStyle w:val="Paragrafoelenco"/>
              <w:numPr>
                <w:ilvl w:val="0"/>
                <w:numId w:val="14"/>
              </w:numPr>
              <w:ind w:left="156" w:hanging="156"/>
              <w:jc w:val="both"/>
              <w:rPr>
                <w:rFonts w:cstheme="minorHAnsi"/>
                <w:sz w:val="20"/>
                <w:szCs w:val="20"/>
                <w:lang w:val="en-GB"/>
              </w:rPr>
            </w:pPr>
            <w:r w:rsidRPr="00344B62">
              <w:rPr>
                <w:rFonts w:cstheme="minorHAnsi"/>
                <w:sz w:val="20"/>
                <w:szCs w:val="20"/>
                <w:lang w:val="en-GB"/>
              </w:rPr>
              <w:t xml:space="preserve">Warrantee is limited to the only replacement of defective parts excluding </w:t>
            </w:r>
            <w:r w:rsidR="003E76ED">
              <w:rPr>
                <w:rFonts w:cstheme="minorHAnsi"/>
                <w:sz w:val="20"/>
                <w:szCs w:val="20"/>
                <w:lang w:val="en-GB"/>
              </w:rPr>
              <w:t xml:space="preserve"> </w:t>
            </w:r>
            <w:r w:rsidRPr="003E76ED">
              <w:rPr>
                <w:rFonts w:cstheme="minorHAnsi"/>
                <w:sz w:val="20"/>
                <w:szCs w:val="20"/>
                <w:lang w:val="en-GB"/>
              </w:rPr>
              <w:t xml:space="preserve">any other claims by the customer for direct or indirect damages caused </w:t>
            </w:r>
            <w:r w:rsidRPr="00C405D4">
              <w:rPr>
                <w:rFonts w:cstheme="minorHAnsi"/>
                <w:sz w:val="20"/>
                <w:szCs w:val="20"/>
                <w:lang w:val="en-GB"/>
              </w:rPr>
              <w:t>by the product.</w:t>
            </w:r>
          </w:p>
          <w:p w:rsidR="00813A45" w:rsidRPr="003E76ED" w:rsidRDefault="00813A45" w:rsidP="003E76ED">
            <w:pPr>
              <w:pStyle w:val="Paragrafoelenco"/>
              <w:numPr>
                <w:ilvl w:val="0"/>
                <w:numId w:val="14"/>
              </w:numPr>
              <w:ind w:left="156" w:hanging="156"/>
              <w:jc w:val="both"/>
              <w:rPr>
                <w:rFonts w:cstheme="minorHAnsi"/>
                <w:sz w:val="20"/>
                <w:szCs w:val="20"/>
                <w:lang w:val="en-GB"/>
              </w:rPr>
            </w:pPr>
            <w:r w:rsidRPr="00344B62">
              <w:rPr>
                <w:rFonts w:cstheme="minorHAnsi"/>
                <w:sz w:val="20"/>
                <w:szCs w:val="20"/>
                <w:lang w:val="en-GB"/>
              </w:rPr>
              <w:t xml:space="preserve">Replacement under warrantee will be made only after returning of the </w:t>
            </w:r>
            <w:r w:rsidRPr="003E76ED">
              <w:rPr>
                <w:rFonts w:cstheme="minorHAnsi"/>
                <w:sz w:val="20"/>
                <w:szCs w:val="20"/>
                <w:lang w:val="en-GB"/>
              </w:rPr>
              <w:t>product supposed to be faulty to the man</w:t>
            </w:r>
            <w:r w:rsidR="003E76ED">
              <w:rPr>
                <w:rFonts w:cstheme="minorHAnsi"/>
                <w:sz w:val="20"/>
                <w:szCs w:val="20"/>
                <w:lang w:val="en-GB"/>
              </w:rPr>
              <w:t xml:space="preserve">ufacturer and after examination </w:t>
            </w:r>
            <w:r w:rsidRPr="003E76ED">
              <w:rPr>
                <w:rFonts w:cstheme="minorHAnsi"/>
                <w:sz w:val="20"/>
                <w:szCs w:val="20"/>
                <w:lang w:val="en-GB"/>
              </w:rPr>
              <w:t>of  the same by AMG technicians, in order to check the faultiness  and to ascertain the causes.</w:t>
            </w:r>
          </w:p>
          <w:p w:rsidR="00813A45" w:rsidRPr="003E76ED" w:rsidRDefault="00813A45" w:rsidP="003E76ED">
            <w:pPr>
              <w:pStyle w:val="Paragrafoelenco"/>
              <w:numPr>
                <w:ilvl w:val="0"/>
                <w:numId w:val="14"/>
              </w:numPr>
              <w:ind w:left="156" w:hanging="156"/>
              <w:jc w:val="both"/>
              <w:rPr>
                <w:rFonts w:cstheme="minorHAnsi"/>
                <w:sz w:val="20"/>
                <w:szCs w:val="20"/>
                <w:lang w:val="en-GB"/>
              </w:rPr>
            </w:pPr>
            <w:r w:rsidRPr="00344B62">
              <w:rPr>
                <w:rFonts w:cstheme="minorHAnsi"/>
                <w:sz w:val="20"/>
                <w:szCs w:val="20"/>
                <w:lang w:val="en-GB"/>
              </w:rPr>
              <w:t xml:space="preserve">Costs  for  transport  and  labour  relating  to  the  replacement  of  parts  </w:t>
            </w:r>
            <w:r w:rsidRPr="003E76ED">
              <w:rPr>
                <w:rFonts w:cstheme="minorHAnsi"/>
                <w:sz w:val="20"/>
                <w:szCs w:val="20"/>
                <w:lang w:val="en-GB"/>
              </w:rPr>
              <w:t xml:space="preserve">covered by warrantee are at  charge of  the  buyer. </w:t>
            </w:r>
          </w:p>
          <w:p w:rsidR="00813A45" w:rsidRPr="003E76ED" w:rsidRDefault="00813A45" w:rsidP="003E76ED">
            <w:pPr>
              <w:pStyle w:val="Paragrafoelenco"/>
              <w:numPr>
                <w:ilvl w:val="0"/>
                <w:numId w:val="14"/>
              </w:numPr>
              <w:ind w:left="156" w:hanging="156"/>
              <w:jc w:val="both"/>
              <w:rPr>
                <w:rFonts w:cstheme="minorHAnsi"/>
                <w:sz w:val="20"/>
                <w:szCs w:val="20"/>
                <w:lang w:val="en-GB"/>
              </w:rPr>
            </w:pPr>
            <w:r w:rsidRPr="00344B62">
              <w:rPr>
                <w:rFonts w:cstheme="minorHAnsi"/>
                <w:sz w:val="20"/>
                <w:szCs w:val="20"/>
                <w:lang w:val="en-GB"/>
              </w:rPr>
              <w:t xml:space="preserve">No warrantee claims will be accepted on AMG products if the defectiveness </w:t>
            </w:r>
            <w:r w:rsidRPr="003E76ED">
              <w:rPr>
                <w:rFonts w:cstheme="minorHAnsi"/>
                <w:sz w:val="20"/>
                <w:szCs w:val="20"/>
                <w:lang w:val="en-GB"/>
              </w:rPr>
              <w:t xml:space="preserve">derives  from  non-observance  of  the </w:t>
            </w:r>
            <w:r w:rsidR="003E76ED">
              <w:rPr>
                <w:rFonts w:cstheme="minorHAnsi"/>
                <w:sz w:val="20"/>
                <w:szCs w:val="20"/>
                <w:lang w:val="en-GB"/>
              </w:rPr>
              <w:t xml:space="preserve"> rules  stated  under  “GENERAL</w:t>
            </w:r>
            <w:r w:rsidR="00C405D4">
              <w:rPr>
                <w:rFonts w:cstheme="minorHAnsi"/>
                <w:sz w:val="20"/>
                <w:szCs w:val="20"/>
                <w:lang w:val="en-GB"/>
              </w:rPr>
              <w:t xml:space="preserve"> </w:t>
            </w:r>
            <w:r w:rsidRPr="003E76ED">
              <w:rPr>
                <w:rFonts w:cstheme="minorHAnsi"/>
                <w:sz w:val="20"/>
                <w:szCs w:val="20"/>
                <w:lang w:val="en-GB"/>
              </w:rPr>
              <w:t>INSTRUCTIONS FOR USE, MAINTENANCE AND INSTALLATION” and/or non-compliance with the  relevant  Italian and European laws.</w:t>
            </w:r>
          </w:p>
        </w:tc>
      </w:tr>
      <w:tr w:rsidR="00813A45" w:rsidRPr="00C405D4" w:rsidTr="00813A45">
        <w:tc>
          <w:tcPr>
            <w:tcW w:w="5316" w:type="dxa"/>
          </w:tcPr>
          <w:p w:rsidR="00813A45" w:rsidRPr="003E76ED" w:rsidRDefault="00813A45" w:rsidP="003E76ED">
            <w:pPr>
              <w:jc w:val="both"/>
              <w:rPr>
                <w:rFonts w:cstheme="minorHAnsi"/>
                <w:i/>
                <w:sz w:val="20"/>
                <w:szCs w:val="20"/>
                <w:u w:val="single"/>
              </w:rPr>
            </w:pPr>
            <w:r w:rsidRPr="003E76ED">
              <w:rPr>
                <w:rFonts w:cstheme="minorHAnsi"/>
                <w:i/>
                <w:sz w:val="20"/>
                <w:szCs w:val="20"/>
                <w:u w:val="single"/>
              </w:rPr>
              <w:t>CONDIZIONI GENERALI DI VENDITA</w:t>
            </w:r>
          </w:p>
          <w:p w:rsidR="00813A45" w:rsidRPr="003E76ED" w:rsidRDefault="00813A45" w:rsidP="003E76ED">
            <w:pPr>
              <w:pStyle w:val="Paragrafoelenco"/>
              <w:numPr>
                <w:ilvl w:val="0"/>
                <w:numId w:val="14"/>
              </w:numPr>
              <w:ind w:left="175" w:hanging="175"/>
              <w:jc w:val="both"/>
              <w:rPr>
                <w:rFonts w:cstheme="minorHAnsi"/>
                <w:sz w:val="20"/>
                <w:szCs w:val="20"/>
              </w:rPr>
            </w:pPr>
            <w:r w:rsidRPr="00344B62">
              <w:rPr>
                <w:rFonts w:cstheme="minorHAnsi"/>
                <w:sz w:val="20"/>
                <w:szCs w:val="20"/>
              </w:rPr>
              <w:t>AMG Srl accetta solamente ordini pervenuti per iscritto e si riserva il</w:t>
            </w:r>
            <w:r w:rsidR="003E76ED">
              <w:rPr>
                <w:rFonts w:cstheme="minorHAnsi"/>
                <w:sz w:val="20"/>
                <w:szCs w:val="20"/>
              </w:rPr>
              <w:t xml:space="preserve"> </w:t>
            </w:r>
            <w:r w:rsidRPr="003E76ED">
              <w:rPr>
                <w:rFonts w:cstheme="minorHAnsi"/>
                <w:sz w:val="20"/>
                <w:szCs w:val="20"/>
              </w:rPr>
              <w:t>diritto di confermare o meno questi ordini.</w:t>
            </w:r>
          </w:p>
          <w:p w:rsidR="00813A45" w:rsidRPr="00344B62" w:rsidRDefault="00813A45" w:rsidP="003E76ED">
            <w:pPr>
              <w:pStyle w:val="Paragrafoelenco"/>
              <w:numPr>
                <w:ilvl w:val="0"/>
                <w:numId w:val="14"/>
              </w:numPr>
              <w:ind w:left="175" w:hanging="175"/>
              <w:jc w:val="both"/>
              <w:rPr>
                <w:rFonts w:cstheme="minorHAnsi"/>
                <w:sz w:val="20"/>
                <w:szCs w:val="20"/>
              </w:rPr>
            </w:pPr>
            <w:r w:rsidRPr="00344B62">
              <w:rPr>
                <w:rFonts w:cstheme="minorHAnsi"/>
                <w:sz w:val="20"/>
                <w:szCs w:val="20"/>
              </w:rPr>
              <w:t xml:space="preserve">Le merci sono vendute </w:t>
            </w:r>
            <w:r w:rsidR="00C405D4">
              <w:rPr>
                <w:rFonts w:cstheme="minorHAnsi"/>
                <w:sz w:val="20"/>
                <w:szCs w:val="20"/>
              </w:rPr>
              <w:t xml:space="preserve"> “FRANCO STABILIMENTO</w:t>
            </w:r>
            <w:r w:rsidRPr="00344B62">
              <w:rPr>
                <w:rFonts w:cstheme="minorHAnsi"/>
                <w:sz w:val="20"/>
                <w:szCs w:val="20"/>
              </w:rPr>
              <w:t xml:space="preserve"> AMG</w:t>
            </w:r>
            <w:r w:rsidR="00C405D4">
              <w:rPr>
                <w:rFonts w:cstheme="minorHAnsi"/>
                <w:sz w:val="20"/>
                <w:szCs w:val="20"/>
              </w:rPr>
              <w:t>2</w:t>
            </w:r>
            <w:r w:rsidRPr="00344B62">
              <w:rPr>
                <w:rFonts w:cstheme="minorHAnsi"/>
                <w:sz w:val="20"/>
                <w:szCs w:val="20"/>
              </w:rPr>
              <w:t>.</w:t>
            </w:r>
          </w:p>
          <w:p w:rsidR="00813A45" w:rsidRPr="003E76ED" w:rsidRDefault="00813A45" w:rsidP="003E76ED">
            <w:pPr>
              <w:pStyle w:val="Paragrafoelenco"/>
              <w:numPr>
                <w:ilvl w:val="0"/>
                <w:numId w:val="14"/>
              </w:numPr>
              <w:ind w:left="175" w:hanging="175"/>
              <w:jc w:val="both"/>
              <w:rPr>
                <w:rFonts w:cstheme="minorHAnsi"/>
                <w:sz w:val="20"/>
                <w:szCs w:val="20"/>
              </w:rPr>
            </w:pPr>
            <w:r w:rsidRPr="00344B62">
              <w:rPr>
                <w:rFonts w:cstheme="minorHAnsi"/>
                <w:sz w:val="20"/>
                <w:szCs w:val="20"/>
              </w:rPr>
              <w:t>In mancanza di istruzioni particolari AMG provvederà a spedire la merce</w:t>
            </w:r>
            <w:r w:rsidR="003E76ED">
              <w:rPr>
                <w:rFonts w:cstheme="minorHAnsi"/>
                <w:sz w:val="20"/>
                <w:szCs w:val="20"/>
              </w:rPr>
              <w:t xml:space="preserve"> </w:t>
            </w:r>
            <w:r w:rsidRPr="003E76ED">
              <w:rPr>
                <w:rFonts w:cstheme="minorHAnsi"/>
                <w:sz w:val="20"/>
                <w:szCs w:val="20"/>
              </w:rPr>
              <w:t>a sua discrezione.</w:t>
            </w:r>
          </w:p>
          <w:p w:rsidR="00813A45" w:rsidRPr="003E76ED" w:rsidRDefault="00813A45" w:rsidP="003E76ED">
            <w:pPr>
              <w:pStyle w:val="Paragrafoelenco"/>
              <w:numPr>
                <w:ilvl w:val="0"/>
                <w:numId w:val="14"/>
              </w:numPr>
              <w:ind w:left="175" w:hanging="175"/>
              <w:jc w:val="both"/>
              <w:rPr>
                <w:rFonts w:cstheme="minorHAnsi"/>
                <w:sz w:val="20"/>
                <w:szCs w:val="20"/>
              </w:rPr>
            </w:pPr>
            <w:r w:rsidRPr="00344B62">
              <w:rPr>
                <w:rFonts w:cstheme="minorHAnsi"/>
                <w:sz w:val="20"/>
                <w:szCs w:val="20"/>
              </w:rPr>
              <w:t>AMG Srl declina ogni responsabilità dal momento in cui le merci escono</w:t>
            </w:r>
            <w:r w:rsidR="003E76ED">
              <w:rPr>
                <w:rFonts w:cstheme="minorHAnsi"/>
                <w:sz w:val="20"/>
                <w:szCs w:val="20"/>
              </w:rPr>
              <w:t xml:space="preserve"> </w:t>
            </w:r>
            <w:r w:rsidRPr="003E76ED">
              <w:rPr>
                <w:rFonts w:cstheme="minorHAnsi"/>
                <w:sz w:val="20"/>
                <w:szCs w:val="20"/>
              </w:rPr>
              <w:t>dal suo magazzino.</w:t>
            </w:r>
          </w:p>
          <w:p w:rsidR="003E76ED" w:rsidRDefault="00813A45" w:rsidP="003E76ED">
            <w:pPr>
              <w:pStyle w:val="Paragrafoelenco"/>
              <w:numPr>
                <w:ilvl w:val="0"/>
                <w:numId w:val="14"/>
              </w:numPr>
              <w:ind w:left="175" w:hanging="175"/>
              <w:jc w:val="both"/>
              <w:rPr>
                <w:rFonts w:cstheme="minorHAnsi"/>
                <w:sz w:val="20"/>
                <w:szCs w:val="20"/>
              </w:rPr>
            </w:pPr>
            <w:r w:rsidRPr="00344B62">
              <w:rPr>
                <w:rFonts w:cstheme="minorHAnsi"/>
                <w:sz w:val="20"/>
                <w:szCs w:val="20"/>
              </w:rPr>
              <w:t>AMG Srl si riserva il diritto di apportare modifiche ai propri prodotti ed ai</w:t>
            </w:r>
            <w:r w:rsidR="003E76ED">
              <w:rPr>
                <w:rFonts w:cstheme="minorHAnsi"/>
                <w:sz w:val="20"/>
                <w:szCs w:val="20"/>
              </w:rPr>
              <w:t xml:space="preserve"> </w:t>
            </w:r>
            <w:r w:rsidRPr="003E76ED">
              <w:rPr>
                <w:rFonts w:cstheme="minorHAnsi"/>
                <w:sz w:val="20"/>
                <w:szCs w:val="20"/>
              </w:rPr>
              <w:t>prezzi senza alcun preavviso.</w:t>
            </w:r>
          </w:p>
          <w:p w:rsidR="003E76ED" w:rsidRDefault="00813A45" w:rsidP="003E76ED">
            <w:pPr>
              <w:pStyle w:val="Paragrafoelenco"/>
              <w:numPr>
                <w:ilvl w:val="0"/>
                <w:numId w:val="14"/>
              </w:numPr>
              <w:ind w:left="175" w:hanging="175"/>
              <w:jc w:val="both"/>
              <w:rPr>
                <w:rFonts w:cstheme="minorHAnsi"/>
                <w:sz w:val="20"/>
                <w:szCs w:val="20"/>
              </w:rPr>
            </w:pPr>
            <w:r w:rsidRPr="003E76ED">
              <w:rPr>
                <w:rFonts w:cstheme="minorHAnsi"/>
                <w:sz w:val="20"/>
                <w:szCs w:val="20"/>
              </w:rPr>
              <w:t>Per qualunque controversia si applicherà l</w:t>
            </w:r>
            <w:r w:rsidR="003E76ED">
              <w:rPr>
                <w:rFonts w:cstheme="minorHAnsi"/>
                <w:sz w:val="20"/>
                <w:szCs w:val="20"/>
              </w:rPr>
              <w:t>a legge italiana ed il foro com</w:t>
            </w:r>
            <w:r w:rsidRPr="003E76ED">
              <w:rPr>
                <w:rFonts w:cstheme="minorHAnsi"/>
                <w:sz w:val="20"/>
                <w:szCs w:val="20"/>
              </w:rPr>
              <w:t>petente sarà quello di REGGIO EMILIA.</w:t>
            </w:r>
          </w:p>
          <w:p w:rsidR="003E76ED" w:rsidRDefault="00813A45" w:rsidP="003E76ED">
            <w:pPr>
              <w:pStyle w:val="Paragrafoelenco"/>
              <w:numPr>
                <w:ilvl w:val="0"/>
                <w:numId w:val="14"/>
              </w:numPr>
              <w:ind w:left="175" w:hanging="175"/>
              <w:jc w:val="both"/>
              <w:rPr>
                <w:rFonts w:cstheme="minorHAnsi"/>
                <w:sz w:val="20"/>
                <w:szCs w:val="20"/>
              </w:rPr>
            </w:pPr>
            <w:r w:rsidRPr="003E76ED">
              <w:rPr>
                <w:rFonts w:cstheme="minorHAnsi"/>
                <w:sz w:val="20"/>
                <w:szCs w:val="20"/>
              </w:rPr>
              <w:t>AMG Srl  si riserva il diritto di apportare modifiche senza preavviso.</w:t>
            </w:r>
          </w:p>
          <w:p w:rsidR="003E76ED" w:rsidRDefault="00813A45" w:rsidP="003E76ED">
            <w:pPr>
              <w:pStyle w:val="Paragrafoelenco"/>
              <w:numPr>
                <w:ilvl w:val="0"/>
                <w:numId w:val="14"/>
              </w:numPr>
              <w:ind w:left="175" w:hanging="175"/>
              <w:jc w:val="both"/>
              <w:rPr>
                <w:rFonts w:cstheme="minorHAnsi"/>
                <w:sz w:val="20"/>
                <w:szCs w:val="20"/>
              </w:rPr>
            </w:pPr>
            <w:r w:rsidRPr="003E76ED">
              <w:rPr>
                <w:rFonts w:cstheme="minorHAnsi"/>
                <w:sz w:val="20"/>
                <w:szCs w:val="20"/>
              </w:rPr>
              <w:t>Valore minimo ordine   250 (IVA esclusa)</w:t>
            </w:r>
            <w:r w:rsidR="00C405D4">
              <w:rPr>
                <w:rFonts w:cstheme="minorHAnsi"/>
                <w:sz w:val="20"/>
                <w:szCs w:val="20"/>
              </w:rPr>
              <w:t>.</w:t>
            </w:r>
          </w:p>
          <w:p w:rsidR="003E76ED" w:rsidRDefault="00813A45" w:rsidP="003E76ED">
            <w:pPr>
              <w:pStyle w:val="Paragrafoelenco"/>
              <w:numPr>
                <w:ilvl w:val="0"/>
                <w:numId w:val="14"/>
              </w:numPr>
              <w:ind w:left="175" w:hanging="175"/>
              <w:jc w:val="both"/>
              <w:rPr>
                <w:rFonts w:cstheme="minorHAnsi"/>
                <w:sz w:val="20"/>
                <w:szCs w:val="20"/>
              </w:rPr>
            </w:pPr>
            <w:r w:rsidRPr="003E76ED">
              <w:rPr>
                <w:rFonts w:cstheme="minorHAnsi"/>
                <w:sz w:val="20"/>
                <w:szCs w:val="20"/>
              </w:rPr>
              <w:t>Le quantità saranno arrotondate al lotto di imballo</w:t>
            </w:r>
            <w:r w:rsidR="00C405D4">
              <w:rPr>
                <w:rFonts w:cstheme="minorHAnsi"/>
                <w:sz w:val="20"/>
                <w:szCs w:val="20"/>
              </w:rPr>
              <w:t>.</w:t>
            </w:r>
          </w:p>
          <w:p w:rsidR="00813A45" w:rsidRPr="003E76ED" w:rsidRDefault="00813A45" w:rsidP="003E76ED">
            <w:pPr>
              <w:pStyle w:val="Paragrafoelenco"/>
              <w:numPr>
                <w:ilvl w:val="0"/>
                <w:numId w:val="14"/>
              </w:numPr>
              <w:ind w:left="175" w:hanging="175"/>
              <w:jc w:val="both"/>
              <w:rPr>
                <w:rFonts w:cstheme="minorHAnsi"/>
                <w:sz w:val="20"/>
                <w:szCs w:val="20"/>
              </w:rPr>
            </w:pPr>
            <w:r w:rsidRPr="003E76ED">
              <w:rPr>
                <w:rFonts w:cstheme="minorHAnsi"/>
                <w:sz w:val="20"/>
                <w:szCs w:val="20"/>
              </w:rPr>
              <w:t>Alcuni articoli nell’elenco sono soggetti a quantità minime di ordine e/o</w:t>
            </w:r>
            <w:r w:rsidR="003E76ED">
              <w:rPr>
                <w:rFonts w:cstheme="minorHAnsi"/>
                <w:sz w:val="20"/>
                <w:szCs w:val="20"/>
              </w:rPr>
              <w:t xml:space="preserve"> </w:t>
            </w:r>
            <w:r w:rsidRPr="003E76ED">
              <w:rPr>
                <w:rFonts w:cstheme="minorHAnsi"/>
                <w:sz w:val="20"/>
                <w:szCs w:val="20"/>
              </w:rPr>
              <w:t>termini di consegna più lunghi.</w:t>
            </w:r>
          </w:p>
        </w:tc>
        <w:tc>
          <w:tcPr>
            <w:tcW w:w="5316" w:type="dxa"/>
          </w:tcPr>
          <w:p w:rsidR="00813A45" w:rsidRPr="003E76ED" w:rsidRDefault="00813A45" w:rsidP="003E76ED">
            <w:pPr>
              <w:jc w:val="both"/>
              <w:rPr>
                <w:rFonts w:cstheme="minorHAnsi"/>
                <w:i/>
                <w:sz w:val="20"/>
                <w:szCs w:val="20"/>
                <w:u w:val="single"/>
                <w:lang w:val="en-GB"/>
              </w:rPr>
            </w:pPr>
            <w:r w:rsidRPr="003E76ED">
              <w:rPr>
                <w:rFonts w:cstheme="minorHAnsi"/>
                <w:i/>
                <w:sz w:val="20"/>
                <w:szCs w:val="20"/>
                <w:u w:val="single"/>
                <w:lang w:val="en-GB"/>
              </w:rPr>
              <w:t>GENERAL SALES CONDITIONS</w:t>
            </w:r>
          </w:p>
          <w:p w:rsidR="00813A45" w:rsidRPr="003E76ED" w:rsidRDefault="00813A45" w:rsidP="003E76ED">
            <w:pPr>
              <w:pStyle w:val="Paragrafoelenco"/>
              <w:numPr>
                <w:ilvl w:val="0"/>
                <w:numId w:val="14"/>
              </w:numPr>
              <w:ind w:left="156" w:hanging="141"/>
              <w:jc w:val="both"/>
              <w:rPr>
                <w:rFonts w:cstheme="minorHAnsi"/>
                <w:sz w:val="20"/>
                <w:szCs w:val="20"/>
                <w:lang w:val="en-GB"/>
              </w:rPr>
            </w:pPr>
            <w:r w:rsidRPr="00344B62">
              <w:rPr>
                <w:rFonts w:cstheme="minorHAnsi"/>
                <w:sz w:val="20"/>
                <w:szCs w:val="20"/>
                <w:lang w:val="en-GB"/>
              </w:rPr>
              <w:t xml:space="preserve">AMG Srl  accepts  only written orders and </w:t>
            </w:r>
            <w:r w:rsidR="003E76ED">
              <w:rPr>
                <w:rFonts w:cstheme="minorHAnsi"/>
                <w:sz w:val="20"/>
                <w:szCs w:val="20"/>
                <w:lang w:val="en-GB"/>
              </w:rPr>
              <w:t xml:space="preserve">reserves  the right to confirm </w:t>
            </w:r>
            <w:r w:rsidRPr="003E76ED">
              <w:rPr>
                <w:rFonts w:cstheme="minorHAnsi"/>
                <w:sz w:val="20"/>
                <w:szCs w:val="20"/>
                <w:lang w:val="en-GB"/>
              </w:rPr>
              <w:t>these  or not.</w:t>
            </w:r>
          </w:p>
          <w:p w:rsidR="00813A45" w:rsidRPr="00344B62" w:rsidRDefault="00813A45" w:rsidP="003E76ED">
            <w:pPr>
              <w:pStyle w:val="Paragrafoelenco"/>
              <w:numPr>
                <w:ilvl w:val="0"/>
                <w:numId w:val="14"/>
              </w:numPr>
              <w:ind w:left="156" w:hanging="141"/>
              <w:jc w:val="both"/>
              <w:rPr>
                <w:rFonts w:cstheme="minorHAnsi"/>
                <w:sz w:val="20"/>
                <w:szCs w:val="20"/>
                <w:lang w:val="en-GB"/>
              </w:rPr>
            </w:pPr>
            <w:r w:rsidRPr="00344B62">
              <w:rPr>
                <w:rFonts w:cstheme="minorHAnsi"/>
                <w:sz w:val="20"/>
                <w:szCs w:val="20"/>
                <w:lang w:val="en-GB"/>
              </w:rPr>
              <w:t>All  goods are sold  “EX WORKS AMG”.</w:t>
            </w:r>
          </w:p>
          <w:p w:rsidR="00813A45" w:rsidRPr="003E76ED" w:rsidRDefault="00813A45" w:rsidP="003E76ED">
            <w:pPr>
              <w:pStyle w:val="Paragrafoelenco"/>
              <w:numPr>
                <w:ilvl w:val="0"/>
                <w:numId w:val="14"/>
              </w:numPr>
              <w:ind w:left="156" w:hanging="141"/>
              <w:jc w:val="both"/>
              <w:rPr>
                <w:rFonts w:cstheme="minorHAnsi"/>
                <w:sz w:val="20"/>
                <w:szCs w:val="20"/>
                <w:lang w:val="en-GB"/>
              </w:rPr>
            </w:pPr>
            <w:r w:rsidRPr="00344B62">
              <w:rPr>
                <w:rFonts w:cstheme="minorHAnsi"/>
                <w:sz w:val="20"/>
                <w:szCs w:val="20"/>
                <w:lang w:val="en-GB"/>
              </w:rPr>
              <w:t xml:space="preserve">Without any particular instructions  from side of  the customer, AMG Srl  </w:t>
            </w:r>
            <w:r w:rsidRPr="003E76ED">
              <w:rPr>
                <w:rFonts w:cstheme="minorHAnsi"/>
                <w:sz w:val="20"/>
                <w:szCs w:val="20"/>
                <w:lang w:val="en-GB"/>
              </w:rPr>
              <w:t>will  dispatch the goods at its discretion.</w:t>
            </w:r>
          </w:p>
          <w:p w:rsidR="00813A45" w:rsidRPr="003E76ED" w:rsidRDefault="00813A45" w:rsidP="003E76ED">
            <w:pPr>
              <w:pStyle w:val="Paragrafoelenco"/>
              <w:numPr>
                <w:ilvl w:val="0"/>
                <w:numId w:val="14"/>
              </w:numPr>
              <w:ind w:left="156" w:hanging="141"/>
              <w:jc w:val="both"/>
              <w:rPr>
                <w:rFonts w:cstheme="minorHAnsi"/>
                <w:sz w:val="20"/>
                <w:szCs w:val="20"/>
                <w:lang w:val="en-GB"/>
              </w:rPr>
            </w:pPr>
            <w:r w:rsidRPr="00344B62">
              <w:rPr>
                <w:rFonts w:cstheme="minorHAnsi"/>
                <w:sz w:val="20"/>
                <w:szCs w:val="20"/>
                <w:lang w:val="en-GB"/>
              </w:rPr>
              <w:t xml:space="preserve">AMG Srl refuses any liability from the moment in which the  goods  have </w:t>
            </w:r>
            <w:r w:rsidRPr="003E76ED">
              <w:rPr>
                <w:rFonts w:cstheme="minorHAnsi"/>
                <w:sz w:val="20"/>
                <w:szCs w:val="20"/>
                <w:lang w:val="en-GB"/>
              </w:rPr>
              <w:t>left its warehouse.</w:t>
            </w:r>
          </w:p>
          <w:p w:rsidR="003E76ED" w:rsidRDefault="00813A45" w:rsidP="003E76ED">
            <w:pPr>
              <w:pStyle w:val="Paragrafoelenco"/>
              <w:numPr>
                <w:ilvl w:val="0"/>
                <w:numId w:val="14"/>
              </w:numPr>
              <w:ind w:left="156" w:hanging="141"/>
              <w:jc w:val="both"/>
              <w:rPr>
                <w:rFonts w:cstheme="minorHAnsi"/>
                <w:sz w:val="20"/>
                <w:szCs w:val="20"/>
                <w:lang w:val="en-GB"/>
              </w:rPr>
            </w:pPr>
            <w:r w:rsidRPr="00344B62">
              <w:rPr>
                <w:rFonts w:cstheme="minorHAnsi"/>
                <w:sz w:val="20"/>
                <w:szCs w:val="20"/>
                <w:lang w:val="en-GB"/>
              </w:rPr>
              <w:t xml:space="preserve">AMG Srl reserves the right to modify its products and prices without </w:t>
            </w:r>
            <w:r w:rsidRPr="003E76ED">
              <w:rPr>
                <w:rFonts w:cstheme="minorHAnsi"/>
                <w:sz w:val="20"/>
                <w:szCs w:val="20"/>
                <w:lang w:val="en-GB"/>
              </w:rPr>
              <w:t>prior notice.</w:t>
            </w:r>
          </w:p>
          <w:p w:rsidR="003E76ED" w:rsidRDefault="00813A45" w:rsidP="003E76ED">
            <w:pPr>
              <w:pStyle w:val="Paragrafoelenco"/>
              <w:numPr>
                <w:ilvl w:val="0"/>
                <w:numId w:val="14"/>
              </w:numPr>
              <w:ind w:left="156" w:hanging="141"/>
              <w:jc w:val="both"/>
              <w:rPr>
                <w:rFonts w:cstheme="minorHAnsi"/>
                <w:sz w:val="20"/>
                <w:szCs w:val="20"/>
                <w:lang w:val="en-GB"/>
              </w:rPr>
            </w:pPr>
            <w:r w:rsidRPr="003E76ED">
              <w:rPr>
                <w:rFonts w:cstheme="minorHAnsi"/>
                <w:sz w:val="20"/>
                <w:szCs w:val="20"/>
                <w:lang w:val="en-GB"/>
              </w:rPr>
              <w:t>For any dispute the applicable law will be the Italian law and place of jur</w:t>
            </w:r>
            <w:r w:rsidR="003E76ED">
              <w:rPr>
                <w:rFonts w:cstheme="minorHAnsi"/>
                <w:sz w:val="20"/>
                <w:szCs w:val="20"/>
                <w:lang w:val="en-GB"/>
              </w:rPr>
              <w:t>isdiction will be REGGIO EMILIA.</w:t>
            </w:r>
          </w:p>
          <w:p w:rsidR="003E76ED" w:rsidRDefault="00813A45" w:rsidP="003E76ED">
            <w:pPr>
              <w:pStyle w:val="Paragrafoelenco"/>
              <w:numPr>
                <w:ilvl w:val="0"/>
                <w:numId w:val="14"/>
              </w:numPr>
              <w:ind w:left="156" w:hanging="141"/>
              <w:jc w:val="both"/>
              <w:rPr>
                <w:rFonts w:cstheme="minorHAnsi"/>
                <w:sz w:val="20"/>
                <w:szCs w:val="20"/>
                <w:lang w:val="en-GB"/>
              </w:rPr>
            </w:pPr>
            <w:r w:rsidRPr="003E76ED">
              <w:rPr>
                <w:rFonts w:cstheme="minorHAnsi"/>
                <w:sz w:val="20"/>
                <w:szCs w:val="20"/>
                <w:lang w:val="en-GB"/>
              </w:rPr>
              <w:t>AMG Srl reserves the right to carry ou</w:t>
            </w:r>
            <w:r w:rsidR="003E76ED">
              <w:rPr>
                <w:rFonts w:cstheme="minorHAnsi"/>
                <w:sz w:val="20"/>
                <w:szCs w:val="20"/>
                <w:lang w:val="en-GB"/>
              </w:rPr>
              <w:t xml:space="preserve">t modifications on its products </w:t>
            </w:r>
            <w:r w:rsidRPr="003E76ED">
              <w:rPr>
                <w:rFonts w:cstheme="minorHAnsi"/>
                <w:sz w:val="20"/>
                <w:szCs w:val="20"/>
                <w:lang w:val="en-GB"/>
              </w:rPr>
              <w:t>without prior notice.</w:t>
            </w:r>
          </w:p>
          <w:p w:rsidR="003E76ED" w:rsidRDefault="00813A45" w:rsidP="003E76ED">
            <w:pPr>
              <w:pStyle w:val="Paragrafoelenco"/>
              <w:numPr>
                <w:ilvl w:val="0"/>
                <w:numId w:val="14"/>
              </w:numPr>
              <w:ind w:left="156" w:hanging="141"/>
              <w:jc w:val="both"/>
              <w:rPr>
                <w:rFonts w:cstheme="minorHAnsi"/>
                <w:sz w:val="20"/>
                <w:szCs w:val="20"/>
                <w:lang w:val="en-GB"/>
              </w:rPr>
            </w:pPr>
            <w:r w:rsidRPr="003E76ED">
              <w:rPr>
                <w:rFonts w:cstheme="minorHAnsi"/>
                <w:sz w:val="20"/>
                <w:szCs w:val="20"/>
                <w:lang w:val="en-GB"/>
              </w:rPr>
              <w:t>Minimum order</w:t>
            </w:r>
            <w:r w:rsidR="003E76ED">
              <w:rPr>
                <w:rFonts w:cstheme="minorHAnsi"/>
                <w:sz w:val="20"/>
                <w:szCs w:val="20"/>
                <w:lang w:val="en-GB"/>
              </w:rPr>
              <w:t xml:space="preserve"> value   250,00 (VAT excluded).</w:t>
            </w:r>
          </w:p>
          <w:p w:rsidR="003E76ED" w:rsidRDefault="00813A45" w:rsidP="003E76ED">
            <w:pPr>
              <w:pStyle w:val="Paragrafoelenco"/>
              <w:numPr>
                <w:ilvl w:val="0"/>
                <w:numId w:val="14"/>
              </w:numPr>
              <w:ind w:left="156" w:hanging="141"/>
              <w:jc w:val="both"/>
              <w:rPr>
                <w:rFonts w:cstheme="minorHAnsi"/>
                <w:sz w:val="20"/>
                <w:szCs w:val="20"/>
                <w:lang w:val="en-GB"/>
              </w:rPr>
            </w:pPr>
            <w:r w:rsidRPr="003E76ED">
              <w:rPr>
                <w:rFonts w:cstheme="minorHAnsi"/>
                <w:sz w:val="20"/>
                <w:szCs w:val="20"/>
                <w:lang w:val="en-GB"/>
              </w:rPr>
              <w:t>Quantities will be adjusted to the pa</w:t>
            </w:r>
            <w:r w:rsidR="00C405D4">
              <w:rPr>
                <w:rFonts w:cstheme="minorHAnsi"/>
                <w:sz w:val="20"/>
                <w:szCs w:val="20"/>
                <w:lang w:val="en-GB"/>
              </w:rPr>
              <w:t>ckaging</w:t>
            </w:r>
            <w:r w:rsidRPr="003E76ED">
              <w:rPr>
                <w:rFonts w:cstheme="minorHAnsi"/>
                <w:sz w:val="20"/>
                <w:szCs w:val="20"/>
                <w:lang w:val="en-GB"/>
              </w:rPr>
              <w:t xml:space="preserve"> lot.</w:t>
            </w:r>
          </w:p>
          <w:p w:rsidR="00813A45" w:rsidRPr="003E76ED" w:rsidRDefault="00813A45" w:rsidP="003E76ED">
            <w:pPr>
              <w:pStyle w:val="Paragrafoelenco"/>
              <w:numPr>
                <w:ilvl w:val="0"/>
                <w:numId w:val="14"/>
              </w:numPr>
              <w:ind w:left="156" w:hanging="141"/>
              <w:jc w:val="both"/>
              <w:rPr>
                <w:rFonts w:cstheme="minorHAnsi"/>
                <w:sz w:val="20"/>
                <w:szCs w:val="20"/>
                <w:lang w:val="en-GB"/>
              </w:rPr>
            </w:pPr>
            <w:r w:rsidRPr="003E76ED">
              <w:rPr>
                <w:rFonts w:cstheme="minorHAnsi"/>
                <w:sz w:val="20"/>
                <w:szCs w:val="20"/>
                <w:lang w:val="en-GB"/>
              </w:rPr>
              <w:t>Some items in the list are subjected to minimum order quantities and/or longer delivery terms.</w:t>
            </w:r>
          </w:p>
        </w:tc>
      </w:tr>
    </w:tbl>
    <w:p w:rsidR="004A16FA" w:rsidRDefault="004A16FA" w:rsidP="00813A45">
      <w:pPr>
        <w:jc w:val="both"/>
        <w:rPr>
          <w:rFonts w:cstheme="minorHAnsi"/>
          <w:sz w:val="20"/>
          <w:szCs w:val="20"/>
          <w:lang w:val="en-GB"/>
        </w:rPr>
      </w:pPr>
    </w:p>
    <w:p w:rsidR="003E76ED" w:rsidRDefault="003E76ED" w:rsidP="00813A45">
      <w:pPr>
        <w:jc w:val="both"/>
        <w:rPr>
          <w:rFonts w:cstheme="minorHAnsi"/>
          <w:sz w:val="20"/>
          <w:szCs w:val="20"/>
          <w:lang w:val="en-GB"/>
        </w:rPr>
      </w:pPr>
    </w:p>
    <w:sectPr w:rsidR="003E76ED" w:rsidSect="003E76ED">
      <w:footerReference w:type="default" r:id="rId10"/>
      <w:pgSz w:w="11906" w:h="16838"/>
      <w:pgMar w:top="993" w:right="707" w:bottom="709" w:left="1134" w:header="70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76ED" w:rsidRDefault="003E76ED" w:rsidP="003E76ED">
      <w:pPr>
        <w:spacing w:after="0" w:line="240" w:lineRule="auto"/>
      </w:pPr>
      <w:r>
        <w:separator/>
      </w:r>
    </w:p>
  </w:endnote>
  <w:endnote w:type="continuationSeparator" w:id="0">
    <w:p w:rsidR="003E76ED" w:rsidRDefault="003E76ED" w:rsidP="003E76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9911831"/>
      <w:docPartObj>
        <w:docPartGallery w:val="Page Numbers (Bottom of Page)"/>
        <w:docPartUnique/>
      </w:docPartObj>
    </w:sdtPr>
    <w:sdtEndPr/>
    <w:sdtContent>
      <w:p w:rsidR="003E76ED" w:rsidRDefault="003E76ED">
        <w:pPr>
          <w:pStyle w:val="Pidipagina"/>
          <w:jc w:val="right"/>
        </w:pPr>
        <w:r>
          <w:fldChar w:fldCharType="begin"/>
        </w:r>
        <w:r>
          <w:instrText>PAGE   \* MERGEFORMAT</w:instrText>
        </w:r>
        <w:r>
          <w:fldChar w:fldCharType="separate"/>
        </w:r>
        <w:r w:rsidR="00C405D4">
          <w:rPr>
            <w:noProof/>
          </w:rPr>
          <w:t>2</w:t>
        </w:r>
        <w:r>
          <w:fldChar w:fldCharType="end"/>
        </w:r>
      </w:p>
    </w:sdtContent>
  </w:sdt>
  <w:p w:rsidR="003E76ED" w:rsidRDefault="003E76E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76ED" w:rsidRDefault="003E76ED" w:rsidP="003E76ED">
      <w:pPr>
        <w:spacing w:after="0" w:line="240" w:lineRule="auto"/>
      </w:pPr>
      <w:r>
        <w:separator/>
      </w:r>
    </w:p>
  </w:footnote>
  <w:footnote w:type="continuationSeparator" w:id="0">
    <w:p w:rsidR="003E76ED" w:rsidRDefault="003E76ED" w:rsidP="003E76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EB1E55"/>
    <w:multiLevelType w:val="hybridMultilevel"/>
    <w:tmpl w:val="C99E259E"/>
    <w:lvl w:ilvl="0" w:tplc="0520E14C">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2AB329E"/>
    <w:multiLevelType w:val="hybridMultilevel"/>
    <w:tmpl w:val="4CDAB4A8"/>
    <w:lvl w:ilvl="0" w:tplc="0BCC0AC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CD115C9"/>
    <w:multiLevelType w:val="hybridMultilevel"/>
    <w:tmpl w:val="CB7E1940"/>
    <w:lvl w:ilvl="0" w:tplc="E6B8BC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F0A2D47"/>
    <w:multiLevelType w:val="hybridMultilevel"/>
    <w:tmpl w:val="8F0E93EE"/>
    <w:lvl w:ilvl="0" w:tplc="308E13A2">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401E05E2"/>
    <w:multiLevelType w:val="hybridMultilevel"/>
    <w:tmpl w:val="AF027EC2"/>
    <w:lvl w:ilvl="0" w:tplc="0BCC0AC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12C75E7"/>
    <w:multiLevelType w:val="hybridMultilevel"/>
    <w:tmpl w:val="E3A6F13A"/>
    <w:lvl w:ilvl="0" w:tplc="0BCC0AC0">
      <w:numFmt w:val="bullet"/>
      <w:lvlText w:val="-"/>
      <w:lvlJc w:val="left"/>
      <w:pPr>
        <w:ind w:left="720" w:hanging="360"/>
      </w:pPr>
      <w:rPr>
        <w:rFonts w:ascii="Calibri" w:eastAsiaTheme="minorHAnsi" w:hAnsi="Calibri" w:cs="Calibri"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4482F35"/>
    <w:multiLevelType w:val="hybridMultilevel"/>
    <w:tmpl w:val="7CBEF284"/>
    <w:lvl w:ilvl="0" w:tplc="E6B8BC4C">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nsid w:val="490E6438"/>
    <w:multiLevelType w:val="hybridMultilevel"/>
    <w:tmpl w:val="1DA2576C"/>
    <w:lvl w:ilvl="0" w:tplc="E6B8BC4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61302D0D"/>
    <w:multiLevelType w:val="hybridMultilevel"/>
    <w:tmpl w:val="2B12D844"/>
    <w:lvl w:ilvl="0" w:tplc="8896664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68072A70"/>
    <w:multiLevelType w:val="hybridMultilevel"/>
    <w:tmpl w:val="6CD22192"/>
    <w:lvl w:ilvl="0" w:tplc="E6B8BC4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6A1D3430"/>
    <w:multiLevelType w:val="hybridMultilevel"/>
    <w:tmpl w:val="12A475BE"/>
    <w:lvl w:ilvl="0" w:tplc="E6B8BC4C">
      <w:start w:val="1"/>
      <w:numFmt w:val="bullet"/>
      <w:lvlText w:val=""/>
      <w:lvlJc w:val="left"/>
      <w:pPr>
        <w:ind w:left="720" w:hanging="360"/>
      </w:pPr>
      <w:rPr>
        <w:rFonts w:ascii="Symbol" w:hAnsi="Symbol" w:hint="default"/>
      </w:rPr>
    </w:lvl>
    <w:lvl w:ilvl="1" w:tplc="0BCC0AC0">
      <w:numFmt w:val="bullet"/>
      <w:lvlText w:val="-"/>
      <w:lvlJc w:val="left"/>
      <w:pPr>
        <w:ind w:left="1440" w:hanging="360"/>
      </w:pPr>
      <w:rPr>
        <w:rFonts w:ascii="Calibri" w:eastAsiaTheme="minorHAnsi" w:hAnsi="Calibri" w:cs="Calibri" w:hint="default"/>
      </w:rPr>
    </w:lvl>
    <w:lvl w:ilvl="2" w:tplc="98E29286">
      <w:numFmt w:val="bullet"/>
      <w:lvlText w:val=""/>
      <w:lvlJc w:val="left"/>
      <w:pPr>
        <w:ind w:left="2160" w:hanging="360"/>
      </w:pPr>
      <w:rPr>
        <w:rFonts w:ascii="Symbol" w:eastAsiaTheme="minorHAnsi" w:hAnsi="Symbol" w:cstheme="minorHAnsi"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705A0133"/>
    <w:multiLevelType w:val="hybridMultilevel"/>
    <w:tmpl w:val="7424ECFC"/>
    <w:lvl w:ilvl="0" w:tplc="E6B8BC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74E95F47"/>
    <w:multiLevelType w:val="hybridMultilevel"/>
    <w:tmpl w:val="C602DBB8"/>
    <w:lvl w:ilvl="0" w:tplc="E6B8BC4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7BAF472C"/>
    <w:multiLevelType w:val="hybridMultilevel"/>
    <w:tmpl w:val="2A6E09E4"/>
    <w:lvl w:ilvl="0" w:tplc="E6B8BC4C">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3"/>
  </w:num>
  <w:num w:numId="4">
    <w:abstractNumId w:val="10"/>
  </w:num>
  <w:num w:numId="5">
    <w:abstractNumId w:val="9"/>
  </w:num>
  <w:num w:numId="6">
    <w:abstractNumId w:val="7"/>
  </w:num>
  <w:num w:numId="7">
    <w:abstractNumId w:val="5"/>
  </w:num>
  <w:num w:numId="8">
    <w:abstractNumId w:val="13"/>
  </w:num>
  <w:num w:numId="9">
    <w:abstractNumId w:val="11"/>
  </w:num>
  <w:num w:numId="10">
    <w:abstractNumId w:val="12"/>
  </w:num>
  <w:num w:numId="11">
    <w:abstractNumId w:val="8"/>
  </w:num>
  <w:num w:numId="12">
    <w:abstractNumId w:val="6"/>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A45"/>
    <w:rsid w:val="00344B62"/>
    <w:rsid w:val="003E76ED"/>
    <w:rsid w:val="004A16FA"/>
    <w:rsid w:val="00813A45"/>
    <w:rsid w:val="00C405D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13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13A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3A45"/>
    <w:rPr>
      <w:rFonts w:ascii="Tahoma" w:hAnsi="Tahoma" w:cs="Tahoma"/>
      <w:sz w:val="16"/>
      <w:szCs w:val="16"/>
    </w:rPr>
  </w:style>
  <w:style w:type="paragraph" w:styleId="Paragrafoelenco">
    <w:name w:val="List Paragraph"/>
    <w:basedOn w:val="Normale"/>
    <w:uiPriority w:val="34"/>
    <w:qFormat/>
    <w:rsid w:val="00813A45"/>
    <w:pPr>
      <w:ind w:left="720"/>
      <w:contextualSpacing/>
    </w:pPr>
  </w:style>
  <w:style w:type="paragraph" w:styleId="Intestazione">
    <w:name w:val="header"/>
    <w:basedOn w:val="Normale"/>
    <w:link w:val="IntestazioneCarattere"/>
    <w:uiPriority w:val="99"/>
    <w:unhideWhenUsed/>
    <w:rsid w:val="003E76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76ED"/>
  </w:style>
  <w:style w:type="paragraph" w:styleId="Pidipagina">
    <w:name w:val="footer"/>
    <w:basedOn w:val="Normale"/>
    <w:link w:val="PidipaginaCarattere"/>
    <w:uiPriority w:val="99"/>
    <w:unhideWhenUsed/>
    <w:rsid w:val="003E76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76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813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13A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13A45"/>
    <w:rPr>
      <w:rFonts w:ascii="Tahoma" w:hAnsi="Tahoma" w:cs="Tahoma"/>
      <w:sz w:val="16"/>
      <w:szCs w:val="16"/>
    </w:rPr>
  </w:style>
  <w:style w:type="paragraph" w:styleId="Paragrafoelenco">
    <w:name w:val="List Paragraph"/>
    <w:basedOn w:val="Normale"/>
    <w:uiPriority w:val="34"/>
    <w:qFormat/>
    <w:rsid w:val="00813A45"/>
    <w:pPr>
      <w:ind w:left="720"/>
      <w:contextualSpacing/>
    </w:pPr>
  </w:style>
  <w:style w:type="paragraph" w:styleId="Intestazione">
    <w:name w:val="header"/>
    <w:basedOn w:val="Normale"/>
    <w:link w:val="IntestazioneCarattere"/>
    <w:uiPriority w:val="99"/>
    <w:unhideWhenUsed/>
    <w:rsid w:val="003E76ED"/>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E76ED"/>
  </w:style>
  <w:style w:type="paragraph" w:styleId="Pidipagina">
    <w:name w:val="footer"/>
    <w:basedOn w:val="Normale"/>
    <w:link w:val="PidipaginaCarattere"/>
    <w:uiPriority w:val="99"/>
    <w:unhideWhenUsed/>
    <w:rsid w:val="003E76ED"/>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E76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716828">
      <w:bodyDiv w:val="1"/>
      <w:marLeft w:val="0"/>
      <w:marRight w:val="0"/>
      <w:marTop w:val="0"/>
      <w:marBottom w:val="0"/>
      <w:divBdr>
        <w:top w:val="none" w:sz="0" w:space="0" w:color="auto"/>
        <w:left w:val="none" w:sz="0" w:space="0" w:color="auto"/>
        <w:bottom w:val="none" w:sz="0" w:space="0" w:color="auto"/>
        <w:right w:val="none" w:sz="0" w:space="0" w:color="auto"/>
      </w:divBdr>
    </w:div>
    <w:div w:id="178784633">
      <w:bodyDiv w:val="1"/>
      <w:marLeft w:val="0"/>
      <w:marRight w:val="0"/>
      <w:marTop w:val="0"/>
      <w:marBottom w:val="0"/>
      <w:divBdr>
        <w:top w:val="none" w:sz="0" w:space="0" w:color="auto"/>
        <w:left w:val="none" w:sz="0" w:space="0" w:color="auto"/>
        <w:bottom w:val="none" w:sz="0" w:space="0" w:color="auto"/>
        <w:right w:val="none" w:sz="0" w:space="0" w:color="auto"/>
      </w:divBdr>
    </w:div>
    <w:div w:id="754983977">
      <w:bodyDiv w:val="1"/>
      <w:marLeft w:val="0"/>
      <w:marRight w:val="0"/>
      <w:marTop w:val="0"/>
      <w:marBottom w:val="0"/>
      <w:divBdr>
        <w:top w:val="none" w:sz="0" w:space="0" w:color="auto"/>
        <w:left w:val="none" w:sz="0" w:space="0" w:color="auto"/>
        <w:bottom w:val="none" w:sz="0" w:space="0" w:color="auto"/>
        <w:right w:val="none" w:sz="0" w:space="0" w:color="auto"/>
      </w:divBdr>
    </w:div>
    <w:div w:id="786655618">
      <w:bodyDiv w:val="1"/>
      <w:marLeft w:val="0"/>
      <w:marRight w:val="0"/>
      <w:marTop w:val="0"/>
      <w:marBottom w:val="0"/>
      <w:divBdr>
        <w:top w:val="none" w:sz="0" w:space="0" w:color="auto"/>
        <w:left w:val="none" w:sz="0" w:space="0" w:color="auto"/>
        <w:bottom w:val="none" w:sz="0" w:space="0" w:color="auto"/>
        <w:right w:val="none" w:sz="0" w:space="0" w:color="auto"/>
      </w:divBdr>
    </w:div>
    <w:div w:id="1074397573">
      <w:bodyDiv w:val="1"/>
      <w:marLeft w:val="0"/>
      <w:marRight w:val="0"/>
      <w:marTop w:val="0"/>
      <w:marBottom w:val="0"/>
      <w:divBdr>
        <w:top w:val="none" w:sz="0" w:space="0" w:color="auto"/>
        <w:left w:val="none" w:sz="0" w:space="0" w:color="auto"/>
        <w:bottom w:val="none" w:sz="0" w:space="0" w:color="auto"/>
        <w:right w:val="none" w:sz="0" w:space="0" w:color="auto"/>
      </w:divBdr>
    </w:div>
    <w:div w:id="1080299727">
      <w:bodyDiv w:val="1"/>
      <w:marLeft w:val="0"/>
      <w:marRight w:val="0"/>
      <w:marTop w:val="0"/>
      <w:marBottom w:val="0"/>
      <w:divBdr>
        <w:top w:val="none" w:sz="0" w:space="0" w:color="auto"/>
        <w:left w:val="none" w:sz="0" w:space="0" w:color="auto"/>
        <w:bottom w:val="none" w:sz="0" w:space="0" w:color="auto"/>
        <w:right w:val="none" w:sz="0" w:space="0" w:color="auto"/>
      </w:divBdr>
    </w:div>
    <w:div w:id="1237977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Pages>2</Pages>
  <Words>1495</Words>
  <Characters>8522</Characters>
  <Application>Microsoft Office Word</Application>
  <DocSecurity>0</DocSecurity>
  <Lines>71</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Dazzi</dc:creator>
  <cp:lastModifiedBy>Federica Dazzi</cp:lastModifiedBy>
  <cp:revision>2</cp:revision>
  <cp:lastPrinted>2021-03-24T09:45:00Z</cp:lastPrinted>
  <dcterms:created xsi:type="dcterms:W3CDTF">2021-03-24T09:14:00Z</dcterms:created>
  <dcterms:modified xsi:type="dcterms:W3CDTF">2021-03-24T10:03:00Z</dcterms:modified>
</cp:coreProperties>
</file>